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3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6052736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4256">
                <wp:simplePos x="0" y="0"/>
                <wp:positionH relativeFrom="page">
                  <wp:posOffset>-5346</wp:posOffset>
                </wp:positionH>
                <wp:positionV relativeFrom="page">
                  <wp:posOffset>6951957</wp:posOffset>
                </wp:positionV>
                <wp:extent cx="7565390" cy="37401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5390" cy="3740150"/>
                          <a:chExt cx="7565390" cy="3740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346" y="5346"/>
                            <a:ext cx="1757045" cy="273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2738755">
                                <a:moveTo>
                                  <a:pt x="0" y="902484"/>
                                </a:moveTo>
                                <a:lnTo>
                                  <a:pt x="990855" y="3973"/>
                                </a:lnTo>
                              </a:path>
                              <a:path w="1757045" h="2738755">
                                <a:moveTo>
                                  <a:pt x="0" y="1146469"/>
                                </a:moveTo>
                                <a:lnTo>
                                  <a:pt x="1244579" y="17879"/>
                                </a:lnTo>
                              </a:path>
                              <a:path w="1757045" h="2738755">
                                <a:moveTo>
                                  <a:pt x="0" y="1413700"/>
                                </a:moveTo>
                                <a:lnTo>
                                  <a:pt x="1510482" y="43989"/>
                                </a:lnTo>
                              </a:path>
                              <a:path w="1757045" h="2738755">
                                <a:moveTo>
                                  <a:pt x="0" y="1680947"/>
                                </a:moveTo>
                                <a:lnTo>
                                  <a:pt x="1751422" y="92751"/>
                                </a:lnTo>
                              </a:path>
                              <a:path w="1757045" h="2738755">
                                <a:moveTo>
                                  <a:pt x="0" y="1942393"/>
                                </a:moveTo>
                                <a:lnTo>
                                  <a:pt x="1757028" y="349113"/>
                                </a:lnTo>
                              </a:path>
                              <a:path w="1757045" h="2738755">
                                <a:moveTo>
                                  <a:pt x="0" y="2209616"/>
                                </a:moveTo>
                                <a:lnTo>
                                  <a:pt x="1411566" y="929603"/>
                                </a:lnTo>
                              </a:path>
                              <a:path w="1757045" h="2738755">
                                <a:moveTo>
                                  <a:pt x="0" y="2471077"/>
                                </a:moveTo>
                                <a:lnTo>
                                  <a:pt x="856703" y="1694217"/>
                                </a:lnTo>
                              </a:path>
                              <a:path w="1757045" h="2738755">
                                <a:moveTo>
                                  <a:pt x="0" y="2738336"/>
                                </a:moveTo>
                                <a:lnTo>
                                  <a:pt x="265203" y="2497848"/>
                                </a:lnTo>
                              </a:path>
                              <a:path w="1757045" h="2738755">
                                <a:moveTo>
                                  <a:pt x="0" y="105815"/>
                                </a:moveTo>
                                <a:lnTo>
                                  <a:pt x="108665" y="7277"/>
                                </a:lnTo>
                              </a:path>
                              <a:path w="1757045" h="2738755">
                                <a:moveTo>
                                  <a:pt x="0" y="373342"/>
                                </a:moveTo>
                                <a:lnTo>
                                  <a:pt x="408198" y="3187"/>
                                </a:lnTo>
                              </a:path>
                              <a:path w="1757045" h="2738755">
                                <a:moveTo>
                                  <a:pt x="0" y="635006"/>
                                </a:moveTo>
                                <a:lnTo>
                                  <a:pt x="700269" y="0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337869"/>
                            <a:ext cx="4843560" cy="3402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906455" y="892793"/>
                            <a:ext cx="812800" cy="943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943610">
                                <a:moveTo>
                                  <a:pt x="42498" y="0"/>
                                </a:moveTo>
                                <a:lnTo>
                                  <a:pt x="19217" y="7678"/>
                                </a:lnTo>
                                <a:lnTo>
                                  <a:pt x="4356" y="27734"/>
                                </a:lnTo>
                                <a:lnTo>
                                  <a:pt x="0" y="63006"/>
                                </a:lnTo>
                                <a:lnTo>
                                  <a:pt x="8235" y="116330"/>
                                </a:lnTo>
                                <a:lnTo>
                                  <a:pt x="113010" y="719237"/>
                                </a:lnTo>
                                <a:lnTo>
                                  <a:pt x="117972" y="738282"/>
                                </a:lnTo>
                                <a:lnTo>
                                  <a:pt x="122331" y="756855"/>
                                </a:lnTo>
                                <a:lnTo>
                                  <a:pt x="133321" y="807528"/>
                                </a:lnTo>
                                <a:lnTo>
                                  <a:pt x="135137" y="816710"/>
                                </a:lnTo>
                                <a:lnTo>
                                  <a:pt x="137405" y="825825"/>
                                </a:lnTo>
                                <a:lnTo>
                                  <a:pt x="141090" y="836928"/>
                                </a:lnTo>
                                <a:lnTo>
                                  <a:pt x="162238" y="896584"/>
                                </a:lnTo>
                                <a:lnTo>
                                  <a:pt x="177843" y="931923"/>
                                </a:lnTo>
                                <a:lnTo>
                                  <a:pt x="195585" y="943049"/>
                                </a:lnTo>
                                <a:lnTo>
                                  <a:pt x="223141" y="930065"/>
                                </a:lnTo>
                                <a:lnTo>
                                  <a:pt x="268192" y="893075"/>
                                </a:lnTo>
                                <a:lnTo>
                                  <a:pt x="308681" y="857274"/>
                                </a:lnTo>
                                <a:lnTo>
                                  <a:pt x="347040" y="821249"/>
                                </a:lnTo>
                                <a:lnTo>
                                  <a:pt x="383731" y="783392"/>
                                </a:lnTo>
                                <a:lnTo>
                                  <a:pt x="436233" y="722254"/>
                                </a:lnTo>
                                <a:lnTo>
                                  <a:pt x="463180" y="692306"/>
                                </a:lnTo>
                                <a:lnTo>
                                  <a:pt x="627624" y="513342"/>
                                </a:lnTo>
                                <a:lnTo>
                                  <a:pt x="672230" y="464274"/>
                                </a:lnTo>
                                <a:lnTo>
                                  <a:pt x="713965" y="417661"/>
                                </a:lnTo>
                                <a:lnTo>
                                  <a:pt x="750697" y="375598"/>
                                </a:lnTo>
                                <a:lnTo>
                                  <a:pt x="780291" y="340177"/>
                                </a:lnTo>
                                <a:lnTo>
                                  <a:pt x="809529" y="297635"/>
                                </a:lnTo>
                                <a:lnTo>
                                  <a:pt x="812310" y="288188"/>
                                </a:lnTo>
                                <a:lnTo>
                                  <a:pt x="811040" y="286272"/>
                                </a:lnTo>
                                <a:lnTo>
                                  <a:pt x="807777" y="279398"/>
                                </a:lnTo>
                                <a:lnTo>
                                  <a:pt x="783501" y="250537"/>
                                </a:lnTo>
                                <a:lnTo>
                                  <a:pt x="743884" y="228674"/>
                                </a:lnTo>
                                <a:lnTo>
                                  <a:pt x="700251" y="212108"/>
                                </a:lnTo>
                                <a:lnTo>
                                  <a:pt x="663924" y="199134"/>
                                </a:lnTo>
                                <a:lnTo>
                                  <a:pt x="625941" y="183700"/>
                                </a:lnTo>
                                <a:lnTo>
                                  <a:pt x="590006" y="169529"/>
                                </a:lnTo>
                                <a:lnTo>
                                  <a:pt x="553810" y="156299"/>
                                </a:lnTo>
                                <a:lnTo>
                                  <a:pt x="515042" y="143686"/>
                                </a:lnTo>
                                <a:lnTo>
                                  <a:pt x="212159" y="47979"/>
                                </a:lnTo>
                                <a:lnTo>
                                  <a:pt x="178081" y="36325"/>
                                </a:lnTo>
                                <a:lnTo>
                                  <a:pt x="141989" y="22862"/>
                                </a:lnTo>
                                <a:lnTo>
                                  <a:pt x="105970" y="10429"/>
                                </a:lnTo>
                                <a:lnTo>
                                  <a:pt x="72111" y="1862"/>
                                </a:lnTo>
                                <a:lnTo>
                                  <a:pt x="42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E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02345" y="688420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18857" y="3128337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278" y="3022543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69620" y="2951376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998" y="2991149"/>
                            <a:ext cx="1087422" cy="2904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03pt;margin-top:547.398193pt;width:595.7pt;height:294.5pt;mso-position-horizontal-relative:page;mso-position-vertical-relative:page;z-index:-16052224" id="docshapegroup2" coordorigin="-8,10948" coordsize="11914,5890">
                <v:shape style="position:absolute;left:0;top:10956;width:2767;height:4313" id="docshape3" coordorigin="0,10956" coordsize="2767,4313" path="m0,12378l1560,10963m0,12762l1960,10985m0,13183l2379,11026m0,13604l2758,11102m0,14015l2767,11506m0,14436l2223,12420m0,14848l1349,13624m0,15269l418,14890m0,11123l171,10968m0,11544l643,10961m0,11956l1103,10956e" filled="false" stroked="true" strokeweight=".842pt" strokecolor="#ffffff">
                  <v:path arrowok="t"/>
                  <v:stroke dashstyle="solid"/>
                </v:shape>
                <v:shape style="position:absolute;left:4277;top:11480;width:7628;height:5358" type="#_x0000_t75" id="docshape4" stroked="false">
                  <v:imagedata r:id="rId5" o:title=""/>
                </v:shape>
                <v:shape style="position:absolute;left:2993;top:12353;width:1280;height:1486" id="docshape5" coordorigin="2994,12354" coordsize="1280,1486" path="m3061,12354l3024,12366,3001,12398,2994,12453,3007,12537,3172,13487,3180,13517,3187,13546,3204,13626,3207,13640,3210,13654,3216,13672,3249,13766,3274,13822,3302,13839,3345,13819,3416,13760,3480,13704,3540,13647,3598,13588,3681,13491,3723,13444,3982,13162,4053,13085,4118,13012,4176,12945,4223,12890,4269,12823,4273,12808,4271,12805,4266,12794,4228,12748,4165,12714,4097,12688,4039,12668,3980,12643,3923,12621,3866,12600,3805,12580,3328,12429,3274,12411,3217,12390,3161,12370,3107,12357,3061,12354xe" filled="true" fillcolor="#fdae82" stroked="false">
                  <v:path arrowok="t"/>
                  <v:fill type="solid"/>
                </v:shape>
                <v:shape style="position:absolute;left:1885;top:12032;width:1709;height:714" id="docshape6" coordorigin="1885,12032" coordsize="1709,714" path="m1922,12032l1885,12646,3557,12746,3594,12132,1922,12032xe" filled="true" fillcolor="#00007b" stroked="false">
                  <v:path arrowok="t"/>
                  <v:fill type="solid"/>
                </v:shape>
                <v:shape style="position:absolute;left:1438;top:15874;width:87;height:155" id="docshape7" coordorigin="1439,15874" coordsize="87,155" path="m1499,15897l1476,15897,1469,15874,1462,15897,1439,15897,1457,15910,1450,15932,1469,15919,1488,15932,1481,15910,1499,15897xm1525,15993l1502,15993,1495,15971,1488,15993,1464,15993,1483,16007,1476,16029,1495,16015,1513,16029,1506,16007,1525,15993xe" filled="true" fillcolor="#ffffff" stroked="false">
                  <v:path arrowok="t"/>
                  <v:fill type="solid"/>
                </v:shape>
                <v:shape style="position:absolute;left:1464;top:15707;width:132;height:129" type="#_x0000_t75" id="docshape8" stroked="false">
                  <v:imagedata r:id="rId6" o:title=""/>
                </v:shape>
                <v:shape style="position:absolute;left:1203;top:15595;width:916;height:620" id="docshape9" coordorigin="1204,15596" coordsize="916,620" path="m1499,15897l1499,15897,1476,15897,1469,15874,1469,15875,1469,15874,1462,15897,1439,15897,1457,15910,1450,15932,1450,15932,1469,15919,1488,15932,1481,15910,1499,15897xm1525,15993l1525,15993,1525,15993,1502,15993,1500,15986,1495,15971,1495,15971,1495,15971,1488,15993,1464,15993,1464,15993,1483,16007,1476,16029,1476,16029,1476,16029,1495,16015,1513,16029,1513,16029,1506,16007,1525,15993xm1525,15801l1525,15801,1525,15801,1502,15801,1500,15794,1495,15778,1495,15778,1495,15778,1488,15801,1464,15801,1464,15801,1483,15814,1476,15836,1476,15836,1476,15836,1495,15823,1513,15836,1513,15836,1509,15821,1506,15814,1525,15801xm1596,15730l1572,15730,1565,15708,1558,15730,1535,15730,1554,15744,1547,15766,1565,15752,1584,15766,1577,15744,1596,15730xm1596,16064l1572,16064,1572,16064,1565,16041,1558,16064,1535,16064,1554,16077,1547,16099,1565,16085,1584,16099,1577,16077,1596,16064xm1692,16089l1692,16089,1669,16089,1668,16089,1665,16078,1661,16067,1661,16067,1661,16067,1654,16089,1631,16089,1650,16103,1643,16125,1643,16125,1661,16111,1680,16125,1680,16125,1675,16110,1673,16103,1692,16089xm1692,15704l1692,15704,1669,15704,1668,15704,1665,15693,1661,15682,1661,15682,1661,15682,1654,15704,1631,15704,1650,15718,1643,15740,1643,15740,1661,15726,1680,15740,1680,15740,1673,15718,1692,15704xm1788,16064l1765,16064,1764,16064,1757,16041,1750,16064,1727,16064,1746,16077,1739,16099,1739,16099,1757,16085,1776,16099,1776,16099,1769,16077,1788,16064xm1788,15730l1765,15730,1765,15730,1758,15708,1758,15708,1758,15708,1751,15730,1727,15730,1727,15730,1746,15744,1739,15766,1758,15752,1776,15766,1776,15766,1769,15744,1788,15730xm1847,16029l1847,16029,1846,16029,1847,16029xm1858,15993l1835,15993,1835,15993,1828,15971,1828,15971,1821,15993,1798,15993,1798,15993,1816,16007,1809,16029,1809,16029,1828,16015,1846,16029,1839,16007,1858,15993,1858,15993,1858,15993xm1858,15800l1835,15800,1835,15800,1828,15778,1821,15800,1798,15800,1816,15814,1809,15836,1828,15822,1847,15836,1839,15814,1858,15800xm1884,15896l1861,15896,1853,15874,1853,15874,1846,15896,1823,15896,1823,15896,1842,15910,1835,15932,1835,15932,1853,15918,1872,15932,1872,15932,1872,15932,1865,15910,1884,15896,1884,15896,1884,15896xm2119,15612l2102,15612,2102,16199,2119,16199,2119,15612xm2119,15596l1204,15596,1204,15612,1204,16200,1204,16216,2119,16216,2119,16200,1221,16200,1221,15612,2119,15612,2119,15596xe" filled="true" fillcolor="#ffffff" stroked="false">
                  <v:path arrowok="t"/>
                  <v:fill type="solid"/>
                </v:shape>
                <v:shape style="position:absolute;left:2254;top:15658;width:1713;height:458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11" coordorigin="0,0" coordsize="627,627">
                <v:shape style="position:absolute;left:0;top:0;width:627;height:627" id="docshape12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89"/>
        <w:rPr>
          <w:rFonts w:ascii="Times New Roman"/>
          <w:sz w:val="28"/>
        </w:rPr>
      </w:pPr>
    </w:p>
    <w:p>
      <w:pPr>
        <w:spacing w:before="0"/>
        <w:ind w:left="2010" w:right="0" w:firstLine="0"/>
        <w:jc w:val="left"/>
        <w:rPr>
          <w:rFonts w:ascii="Trebuchet MS" w:hAns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677597</wp:posOffset>
                </wp:positionH>
                <wp:positionV relativeFrom="paragraph">
                  <wp:posOffset>-703349</wp:posOffset>
                </wp:positionV>
                <wp:extent cx="4326890" cy="5842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 rot="180000">
                          <a:off x="0" y="0"/>
                          <a:ext cx="43268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"/>
                                <w:position w:val="2"/>
                                <w:sz w:val="92"/>
                              </w:rPr>
                              <w:t>Hod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"/>
                                <w:position w:val="1"/>
                                <w:sz w:val="92"/>
                              </w:rPr>
                              <w:t>nocen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"/>
                                <w:sz w:val="92"/>
                              </w:rPr>
                              <w:t>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4"/>
                                <w:w w:val="150"/>
                                <w:sz w:val="92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5"/>
                                <w:sz w:val="92"/>
                              </w:rPr>
                              <w:t>ŠVP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354095pt;margin-top:-55.381836pt;width:340.7pt;height:46pt;mso-position-horizontal-relative:page;mso-position-vertical-relative:paragraph;z-index:15730688;rotation:3" type="#_x0000_t136" fillcolor="#ffffff" stroked="f">
                <o:extrusion v:ext="view" autorotationcenter="t"/>
                <v:textpath style="font-family:&quot;Cambria&quot;;font-size:46pt;v-text-kern:t;mso-text-shadow:auto;font-weight:bold" string="Hodnocení ŠVP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>předmětový</w:t>
      </w:r>
    </w:p>
    <w:p>
      <w:pPr>
        <w:spacing w:before="11"/>
        <w:ind w:left="2010" w:right="0" w:firstLine="0"/>
        <w:jc w:val="left"/>
        <w:rPr>
          <w:rFonts w:ascii="Trebuchet MS" w:hAns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1605415</wp:posOffset>
                </wp:positionH>
                <wp:positionV relativeFrom="paragraph">
                  <wp:posOffset>422872</wp:posOffset>
                </wp:positionV>
                <wp:extent cx="323850" cy="1397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41069pt;margin-top:33.297016pt;width:25.5pt;height:11pt;mso-position-horizontal-relative:page;mso-position-vertical-relative:paragraph;z-index:15731200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FFFFFF"/>
          <w:w w:val="105"/>
          <w:sz w:val="28"/>
        </w:rPr>
        <w:t>modelový</w:t>
      </w:r>
      <w:r>
        <w:rPr>
          <w:rFonts w:ascii="Trebuchet MS" w:hAnsi="Trebuchet MS"/>
          <w:color w:val="FFFFFF"/>
          <w:spacing w:val="28"/>
          <w:w w:val="105"/>
          <w:sz w:val="28"/>
        </w:rPr>
        <w:t> </w:t>
      </w:r>
      <w:r>
        <w:rPr>
          <w:rFonts w:ascii="Trebuchet MS" w:hAnsi="Trebuchet MS"/>
          <w:color w:val="FFFFFF"/>
          <w:spacing w:val="-5"/>
          <w:w w:val="105"/>
          <w:sz w:val="28"/>
        </w:rPr>
        <w:t>ŠVP</w:t>
      </w:r>
    </w:p>
    <w:p>
      <w:pPr>
        <w:spacing w:after="0"/>
        <w:jc w:val="left"/>
        <w:rPr>
          <w:rFonts w:ascii="Trebuchet MS" w:hAnsi="Trebuchet MS"/>
          <w:sz w:val="28"/>
        </w:rPr>
        <w:sectPr>
          <w:type w:val="continuous"/>
          <w:pgSz w:w="11910" w:h="16840"/>
          <w:pgMar w:top="720" w:bottom="0" w:left="1140" w:right="60"/>
        </w:sectPr>
      </w:pPr>
    </w:p>
    <w:p>
      <w:pPr>
        <w:spacing w:before="78"/>
        <w:ind w:left="107" w:right="0" w:firstLine="0"/>
        <w:jc w:val="left"/>
        <w:rPr>
          <w:rFonts w:ascii="Cambria" w:hAnsi="Cambria"/>
          <w:sz w:val="48"/>
        </w:rPr>
      </w:pPr>
      <w:r>
        <w:rPr>
          <w:rFonts w:ascii="Cambria" w:hAnsi="Cambria"/>
          <w:color w:val="3566FC"/>
          <w:spacing w:val="2"/>
          <w:sz w:val="48"/>
        </w:rPr>
        <w:t>3.4</w:t>
      </w:r>
      <w:r>
        <w:rPr>
          <w:rFonts w:ascii="Cambria" w:hAnsi="Cambria"/>
          <w:color w:val="3566FC"/>
          <w:spacing w:val="56"/>
          <w:sz w:val="48"/>
        </w:rPr>
        <w:t> </w:t>
      </w:r>
      <w:r>
        <w:rPr>
          <w:rFonts w:ascii="Cambria" w:hAnsi="Cambria"/>
          <w:color w:val="3566FC"/>
          <w:spacing w:val="2"/>
          <w:sz w:val="48"/>
        </w:rPr>
        <w:t>Hodnocení</w:t>
      </w:r>
      <w:r>
        <w:rPr>
          <w:rFonts w:ascii="Cambria" w:hAnsi="Cambria"/>
          <w:color w:val="3566FC"/>
          <w:spacing w:val="56"/>
          <w:sz w:val="48"/>
        </w:rPr>
        <w:t> </w:t>
      </w:r>
      <w:r>
        <w:rPr>
          <w:rFonts w:ascii="Cambria" w:hAnsi="Cambria"/>
          <w:color w:val="3566FC"/>
          <w:spacing w:val="-5"/>
          <w:sz w:val="48"/>
        </w:rPr>
        <w:t>ŠVP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5568;mso-wrap-distance-left:0;mso-wrap-distance-right:0" id="docshape15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0"/>
        <w:ind w:left="1808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ŠVP</w:t>
      </w:r>
      <w:r>
        <w:rPr>
          <w:rFonts w:ascii="Arial Black" w:hAnsi="Arial Black"/>
          <w:color w:val="1B377C"/>
          <w:spacing w:val="-3"/>
        </w:rPr>
        <w:t> </w:t>
      </w:r>
      <w:r>
        <w:rPr>
          <w:rFonts w:ascii="Arial Black" w:hAnsi="Arial Black"/>
          <w:color w:val="1B377C"/>
          <w:w w:val="90"/>
        </w:rPr>
        <w:t>hodnotíme</w:t>
      </w:r>
      <w:r>
        <w:rPr>
          <w:rFonts w:ascii="Arial Black" w:hAnsi="Arial Black"/>
          <w:color w:val="1B377C"/>
          <w:spacing w:val="-2"/>
        </w:rPr>
        <w:t> </w:t>
      </w:r>
      <w:r>
        <w:rPr>
          <w:rFonts w:ascii="Arial Black" w:hAnsi="Arial Black"/>
          <w:color w:val="1B377C"/>
          <w:w w:val="90"/>
        </w:rPr>
        <w:t>ve</w:t>
      </w:r>
      <w:r>
        <w:rPr>
          <w:rFonts w:ascii="Arial Black" w:hAnsi="Arial Black"/>
          <w:color w:val="1B377C"/>
          <w:spacing w:val="-2"/>
        </w:rPr>
        <w:t> </w:t>
      </w:r>
      <w:r>
        <w:rPr>
          <w:rFonts w:ascii="Arial Black" w:hAnsi="Arial Black"/>
          <w:color w:val="1B377C"/>
          <w:w w:val="90"/>
        </w:rPr>
        <w:t>dvou</w:t>
      </w:r>
      <w:r>
        <w:rPr>
          <w:rFonts w:ascii="Arial Black" w:hAnsi="Arial Black"/>
          <w:color w:val="1B377C"/>
          <w:spacing w:val="-3"/>
        </w:rPr>
        <w:t> </w:t>
      </w:r>
      <w:r>
        <w:rPr>
          <w:rFonts w:ascii="Arial Black" w:hAnsi="Arial Black"/>
          <w:color w:val="1B377C"/>
          <w:spacing w:val="-2"/>
          <w:w w:val="90"/>
        </w:rPr>
        <w:t>rovinách: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144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obsahové</w:t>
      </w:r>
      <w:r>
        <w:rPr>
          <w:color w:val="1B377C"/>
          <w:spacing w:val="6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formální</w:t>
      </w:r>
      <w:r>
        <w:rPr>
          <w:color w:val="1B377C"/>
          <w:spacing w:val="6"/>
          <w:w w:val="105"/>
          <w:sz w:val="18"/>
        </w:rPr>
        <w:t> </w:t>
      </w:r>
      <w:r>
        <w:rPr>
          <w:color w:val="1B377C"/>
          <w:w w:val="105"/>
          <w:sz w:val="18"/>
        </w:rPr>
        <w:t>zpracování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spacing w:val="-4"/>
          <w:w w:val="105"/>
          <w:sz w:val="18"/>
        </w:rPr>
        <w:t>ŠVP,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funkčnost ŠVP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při plánování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realizaci </w:t>
      </w:r>
      <w:r>
        <w:rPr>
          <w:color w:val="1B377C"/>
          <w:spacing w:val="-2"/>
          <w:w w:val="105"/>
          <w:sz w:val="18"/>
        </w:rPr>
        <w:t>výuky.</w:t>
      </w:r>
    </w:p>
    <w:p>
      <w:pPr>
        <w:pStyle w:val="BodyText"/>
        <w:spacing w:line="254" w:lineRule="auto" w:before="144"/>
        <w:ind w:left="1808" w:right="1455"/>
      </w:pPr>
      <w:r>
        <w:rPr>
          <w:rFonts w:ascii="Arial Black" w:hAnsi="Arial Black"/>
          <w:color w:val="1B377C"/>
        </w:rPr>
        <w:t>Hodnocení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obsahového</w:t>
      </w:r>
      <w:r>
        <w:rPr>
          <w:rFonts w:ascii="Arial Black" w:hAnsi="Arial Black"/>
          <w:color w:val="1B377C"/>
          <w:spacing w:val="-16"/>
        </w:rPr>
        <w:t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formálního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zpracování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ŠVP</w:t>
      </w:r>
      <w:r>
        <w:rPr>
          <w:rFonts w:ascii="Arial Black" w:hAnsi="Arial Black"/>
          <w:color w:val="1B377C"/>
          <w:spacing w:val="-15"/>
        </w:rPr>
        <w:t> </w:t>
      </w:r>
      <w:r>
        <w:rPr>
          <w:color w:val="1B377C"/>
        </w:rPr>
        <w:t>realizujeme</w:t>
      </w:r>
      <w:r>
        <w:rPr>
          <w:color w:val="1B377C"/>
          <w:spacing w:val="-14"/>
        </w:rPr>
        <w:t> </w:t>
      </w:r>
      <w:r>
        <w:rPr>
          <w:color w:val="1B377C"/>
        </w:rPr>
        <w:t>v</w:t>
      </w:r>
      <w:r>
        <w:rPr>
          <w:color w:val="1B377C"/>
          <w:spacing w:val="-14"/>
        </w:rPr>
        <w:t> </w:t>
      </w:r>
      <w:r>
        <w:rPr>
          <w:color w:val="1B377C"/>
        </w:rPr>
        <w:t>průběhu</w:t>
      </w:r>
      <w:r>
        <w:rPr>
          <w:color w:val="1B377C"/>
          <w:spacing w:val="-14"/>
        </w:rPr>
        <w:t> </w:t>
      </w:r>
      <w:r>
        <w:rPr>
          <w:color w:val="1B377C"/>
        </w:rPr>
        <w:t>tvorby </w:t>
      </w:r>
      <w:r>
        <w:rPr>
          <w:color w:val="1B377C"/>
          <w:w w:val="105"/>
        </w:rPr>
        <w:t>nového ŠVP a po jeho dokončení i po každé jeho dílčí úpravě</w:t>
      </w:r>
      <w:r>
        <w:rPr>
          <w:color w:val="1B377C"/>
          <w:w w:val="105"/>
          <w:position w:val="6"/>
          <w:sz w:val="10"/>
        </w:rPr>
        <w:t>1</w:t>
      </w:r>
      <w:r>
        <w:rPr>
          <w:color w:val="1B377C"/>
          <w:w w:val="105"/>
        </w:rPr>
        <w:t>. Při zpracování ŠVP hodnotíme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prvky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uvedené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tabulce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pomocí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hodnotících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kritérií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39"/>
          <w:w w:val="105"/>
        </w:rPr>
        <w:t> </w:t>
      </w:r>
      <w:r>
        <w:rPr>
          <w:color w:val="1B377C"/>
          <w:w w:val="105"/>
        </w:rPr>
        <w:t>indikátorů: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56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Kritéria</w:t>
            </w:r>
            <w:r>
              <w:rPr>
                <w:rFonts w:ascii="Cambria" w:hAnsi="Cambria"/>
                <w:b/>
                <w:color w:val="1B377C"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hodnocení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Indikátory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z w:val="18"/>
              </w:rPr>
              <w:t>a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opatření</w:t>
            </w:r>
          </w:p>
        </w:tc>
      </w:tr>
      <w:tr>
        <w:trPr>
          <w:trHeight w:val="443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117"/>
              <w:ind w:left="8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85"/>
                <w:sz w:val="16"/>
              </w:rPr>
              <w:t>Soulad</w:t>
            </w:r>
            <w:r>
              <w:rPr>
                <w:rFonts w:ascii="Arial Black" w:hAnsi="Arial Black"/>
                <w:color w:val="1B377C"/>
                <w:spacing w:val="-8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85"/>
                <w:sz w:val="16"/>
              </w:rPr>
              <w:t>RVP</w:t>
            </w:r>
            <w:r>
              <w:rPr>
                <w:rFonts w:ascii="Arial Black" w:hAnsi="Arial Black"/>
                <w:color w:val="1B377C"/>
                <w:spacing w:val="-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85"/>
                <w:sz w:val="16"/>
              </w:rPr>
              <w:t>ZV</w:t>
            </w:r>
          </w:p>
        </w:tc>
      </w:tr>
      <w:tr>
        <w:trPr>
          <w:trHeight w:val="56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5" w:right="1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odpovídá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aktuální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verzi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struktuře ŠVP uvedené v RVP ZV – není s ním v rozporu.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odpovídá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zcela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struktuře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 </w:t>
            </w:r>
            <w:r>
              <w:rPr>
                <w:color w:val="1B377C"/>
                <w:spacing w:val="-4"/>
                <w:w w:val="105"/>
                <w:sz w:val="16"/>
              </w:rPr>
              <w:t>úprav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někde se ŠVP od obsahu RVP ZV nebo struktury ŠVP odchyluje – dát do souladu</w:t>
            </w:r>
          </w:p>
          <w:p>
            <w:pPr>
              <w:pStyle w:val="TableParagraph"/>
              <w:spacing w:line="192" w:lineRule="exact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ZV,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upravit,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vysvětlit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důvod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odlišností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některé body struktury ŠVP chybí, nebo se výrazněji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odlišují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dát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souladu s RVP ZV, upravit, přepracovat, případně vysvětlit důvod odlišností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7"/>
                <w:sz w:val="16"/>
              </w:rPr>
              <w:t> </w:t>
            </w:r>
            <w:r>
              <w:rPr>
                <w:color w:val="1B377C"/>
                <w:sz w:val="16"/>
              </w:rPr>
              <w:t>Hodnocení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provádí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koordinátor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11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vybraní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vyučující.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4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Logická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obsahová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návaznost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jednotlivých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částí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5"/>
                <w:w w:val="90"/>
                <w:sz w:val="16"/>
              </w:rPr>
              <w:t>ŠVP</w:t>
            </w:r>
          </w:p>
        </w:tc>
      </w:tr>
      <w:tr>
        <w:trPr>
          <w:trHeight w:val="56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8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obsahově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časově </w:t>
            </w:r>
            <w:r>
              <w:rPr>
                <w:color w:val="1B377C"/>
                <w:spacing w:val="-2"/>
                <w:w w:val="105"/>
                <w:sz w:val="16"/>
              </w:rPr>
              <w:t>navazují.</w:t>
            </w:r>
          </w:p>
          <w:p>
            <w:pPr>
              <w:pStyle w:val="TableParagraph"/>
              <w:spacing w:line="261" w:lineRule="auto" w:before="139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 části nejsou v logickém rozporu (neodporují si, nevylučují se).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aspektech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navazují – bez úprav</w:t>
            </w:r>
          </w:p>
        </w:tc>
      </w:tr>
      <w:tr>
        <w:trPr>
          <w:trHeight w:val="56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vykazují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dílčí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rozpory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návaznostech a logickém sledu – dát do souladu, upravit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1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části ŠVP vykazují v návaznostech a logickém sledu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obsahu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kapitol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podstatné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chyby,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rozpory – dát do souladu, upravit, přepracovat</w:t>
            </w:r>
          </w:p>
        </w:tc>
      </w:tr>
      <w:tr>
        <w:trPr>
          <w:trHeight w:val="56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koordinátor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vyučující,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přizvaný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nezávislý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odborník (učitel jiné školy, expert na ŠVP atd.).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3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Srozumitelnost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jednoznačnost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všechny</w:t>
            </w:r>
            <w:r>
              <w:rPr>
                <w:rFonts w:ascii="Arial Black" w:hAnsi="Arial Black"/>
                <w:color w:val="1B377C"/>
                <w:spacing w:val="-3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uživatele</w:t>
            </w:r>
          </w:p>
        </w:tc>
      </w:tr>
      <w:tr>
        <w:trPr>
          <w:trHeight w:val="56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Jednotlivé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jsou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vhodně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strukturované, jsou použity správné pojmy, odkazy, citace.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jednotlivé části ŠVP jsou vhodně zpracované ve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všech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sledovaných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aspektech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úprav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některé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nejsou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vhodně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zpracované nebo nejsou použité správné pojmy, odkazy atd. – projednat, upravit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některé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části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ŠVP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chybné,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nebo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nimi uživatelé nesouhlasí, konkrétní pojmy, </w:t>
            </w:r>
            <w:r>
              <w:rPr>
                <w:color w:val="1B377C"/>
                <w:sz w:val="16"/>
              </w:rPr>
              <w:t>odkazy, citace jsou chybné nebo nefunkční – </w:t>
            </w:r>
            <w:r>
              <w:rPr>
                <w:color w:val="1B377C"/>
                <w:w w:val="110"/>
                <w:sz w:val="16"/>
              </w:rPr>
              <w:t>projednat, upravit či přepracovat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1872000</wp:posOffset>
                </wp:positionH>
                <wp:positionV relativeFrom="paragraph">
                  <wp:posOffset>231276</wp:posOffset>
                </wp:positionV>
                <wp:extent cx="914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8.210762pt;width:72pt;height:.1pt;mso-position-horizontal-relative:page;mso-position-vertical-relative:paragraph;z-index:-15725056;mso-wrap-distance-left:0;mso-wrap-distance-right:0" id="docshape16" coordorigin="2948,364" coordsize="1440,0" path="m2948,364l4388,364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2305" w:val="left" w:leader="none"/>
        </w:tabs>
        <w:spacing w:line="240" w:lineRule="auto" w:before="136" w:after="0"/>
        <w:ind w:left="2305" w:right="0" w:hanging="497"/>
        <w:jc w:val="left"/>
        <w:rPr>
          <w:sz w:val="14"/>
        </w:rPr>
      </w:pPr>
      <w:r>
        <w:rPr>
          <w:color w:val="1B377C"/>
          <w:w w:val="105"/>
          <w:sz w:val="14"/>
        </w:rPr>
        <w:t>Při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dílčích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úpravách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ŠVP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není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nutné</w:t>
      </w:r>
      <w:r>
        <w:rPr>
          <w:color w:val="1B377C"/>
          <w:spacing w:val="11"/>
          <w:w w:val="105"/>
          <w:sz w:val="14"/>
        </w:rPr>
        <w:t> </w:t>
      </w:r>
      <w:r>
        <w:rPr>
          <w:color w:val="1B377C"/>
          <w:w w:val="105"/>
          <w:sz w:val="14"/>
        </w:rPr>
        <w:t>vždy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využít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w w:val="105"/>
          <w:sz w:val="14"/>
        </w:rPr>
        <w:t>všechna</w:t>
      </w:r>
      <w:r>
        <w:rPr>
          <w:color w:val="1B377C"/>
          <w:spacing w:val="10"/>
          <w:w w:val="105"/>
          <w:sz w:val="14"/>
        </w:rPr>
        <w:t> </w:t>
      </w:r>
      <w:r>
        <w:rPr>
          <w:color w:val="1B377C"/>
          <w:spacing w:val="-2"/>
          <w:w w:val="105"/>
          <w:sz w:val="14"/>
        </w:rPr>
        <w:t>kritéria.</w:t>
      </w:r>
    </w:p>
    <w:p>
      <w:pPr>
        <w:spacing w:after="0" w:line="240" w:lineRule="auto"/>
        <w:jc w:val="left"/>
        <w:rPr>
          <w:sz w:val="14"/>
        </w:rPr>
        <w:sectPr>
          <w:footerReference w:type="default" r:id="rId10"/>
          <w:pgSz w:w="11910" w:h="16840"/>
          <w:pgMar w:header="0" w:footer="579" w:top="1320" w:bottom="760" w:left="1140" w:right="60"/>
          <w:pgNumType w:start="2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77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1"/>
              <w:rPr>
                <w:sz w:val="16"/>
              </w:rPr>
            </w:pPr>
          </w:p>
          <w:p>
            <w:pPr>
              <w:pStyle w:val="TableParagraph"/>
              <w:spacing w:line="434" w:lineRule="auto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Uživatelé rozumějí textu, text je aktuální. Nevyskytují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jazykové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formální</w:t>
            </w:r>
            <w:r>
              <w:rPr>
                <w:color w:val="1B377C"/>
                <w:spacing w:val="-2"/>
                <w:w w:val="105"/>
                <w:sz w:val="16"/>
              </w:rPr>
              <w:t> chyby.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475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text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z w:val="16"/>
              </w:rPr>
              <w:t>zcela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z w:val="16"/>
              </w:rPr>
              <w:t>srozumitelný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z w:val="16"/>
              </w:rPr>
              <w:t>bez</w:t>
            </w:r>
            <w:r>
              <w:rPr>
                <w:color w:val="1B377C"/>
                <w:spacing w:val="23"/>
                <w:sz w:val="16"/>
              </w:rPr>
              <w:t> </w:t>
            </w:r>
            <w:r>
              <w:rPr>
                <w:color w:val="1B377C"/>
                <w:sz w:val="16"/>
              </w:rPr>
              <w:t>jazykových </w:t>
            </w:r>
            <w:r>
              <w:rPr>
                <w:color w:val="1B377C"/>
                <w:w w:val="110"/>
                <w:sz w:val="16"/>
              </w:rPr>
              <w:t>a formálních chyb, odpovídá aktuálním trendům – bez úpravy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1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některé části textu jsou málo srozumitelné, </w:t>
            </w:r>
            <w:r>
              <w:rPr>
                <w:color w:val="1B377C"/>
                <w:w w:val="110"/>
                <w:sz w:val="16"/>
              </w:rPr>
              <w:t>nebo vykazují jazykové či formální chyby, některé části textu jsou neaktuální, neodpovídají trendům ve vzdělávání – projednat,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upravit</w:t>
            </w:r>
          </w:p>
        </w:tc>
      </w:tr>
      <w:tr>
        <w:trPr>
          <w:trHeight w:val="779" w:hRule="atLeast"/>
        </w:trPr>
        <w:tc>
          <w:tcPr>
            <w:tcW w:w="3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17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 některé části textu jsou obtížně srozumitelné, nebo s nimi uživatelé nesouhlasí, text je zcela </w:t>
            </w:r>
            <w:r>
              <w:rPr>
                <w:color w:val="1B377C"/>
                <w:w w:val="110"/>
                <w:sz w:val="16"/>
              </w:rPr>
              <w:t>neaktuální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projednat,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upravit,</w:t>
            </w:r>
            <w:r>
              <w:rPr>
                <w:color w:val="1B377C"/>
                <w:spacing w:val="-6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přepracovat</w:t>
            </w:r>
          </w:p>
        </w:tc>
      </w:tr>
      <w:tr>
        <w:trPr>
          <w:trHeight w:val="56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Text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doplněn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vhodnými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schématy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2"/>
                <w:w w:val="105"/>
                <w:sz w:val="16"/>
              </w:rPr>
              <w:t> obrázky.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obrázky a schémata jsou vhodná a graficky dobře zpracovaná – bez úprav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k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některým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schématům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či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obrázkům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jsou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dílčí </w:t>
            </w:r>
            <w:r>
              <w:rPr>
                <w:color w:val="1B377C"/>
                <w:w w:val="110"/>
                <w:sz w:val="16"/>
              </w:rPr>
              <w:t>výhrady, nejsou srozumitelné – projednat, dopracovat,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vyměnit</w:t>
            </w:r>
          </w:p>
        </w:tc>
      </w:tr>
      <w:tr>
        <w:trPr>
          <w:trHeight w:val="56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s některými schématy a obrázky je vysloven nesouhlas – projednat, přepracovat, vyměnit</w:t>
            </w:r>
          </w:p>
        </w:tc>
      </w:tr>
      <w:tr>
        <w:trPr>
          <w:trHeight w:val="56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spacing w:before="1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umístěný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webu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správně.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595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prohlížení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webu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školy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snadné </w:t>
            </w:r>
            <w:r>
              <w:rPr>
                <w:color w:val="1B377C"/>
                <w:w w:val="110"/>
                <w:sz w:val="16"/>
              </w:rPr>
              <w:t>a funguje správně – bez úprav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571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 prohlížení ŠVP na webu je pomalé nebo vykazuje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jiné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dílčí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problémy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–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projednat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upravit</w:t>
            </w:r>
          </w:p>
        </w:tc>
      </w:tr>
      <w:tr>
        <w:trPr>
          <w:trHeight w:val="77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before="90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prohlížení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ŠVP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webu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vykazuje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značné</w:t>
            </w:r>
          </w:p>
          <w:p>
            <w:pPr>
              <w:pStyle w:val="TableParagraph"/>
              <w:spacing w:line="261" w:lineRule="auto" w:before="16"/>
              <w:ind w:left="283"/>
              <w:rPr>
                <w:sz w:val="16"/>
              </w:rPr>
            </w:pPr>
            <w:r>
              <w:rPr>
                <w:color w:val="1B377C"/>
                <w:sz w:val="16"/>
              </w:rPr>
              <w:t>a opakované problémy – projednat a zajistit </w:t>
            </w:r>
            <w:r>
              <w:rPr>
                <w:color w:val="1B377C"/>
                <w:spacing w:val="-2"/>
                <w:w w:val="110"/>
                <w:sz w:val="16"/>
              </w:rPr>
              <w:t>nápravu</w:t>
            </w:r>
          </w:p>
        </w:tc>
      </w:tr>
      <w:tr>
        <w:trPr>
          <w:trHeight w:val="77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zajištěna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možnost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klást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obsahu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formě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 </w:t>
            </w:r>
            <w:r>
              <w:rPr>
                <w:color w:val="1B377C"/>
                <w:spacing w:val="-2"/>
                <w:w w:val="105"/>
                <w:sz w:val="16"/>
              </w:rPr>
              <w:t>dotazy.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2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 má na webu zřízenu možnost dotazovat se na obsah a realizaci ŠVP, systém dotazů je funkční – bez úprav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2" w:right="117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škola má na webu zřízenu možnost dotazovat se na obsah a realizaci ŠVP, ale služba vykazuje problémy – projednat, přijmout opatření ke zlepšení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2" w:right="84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škola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na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webu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nezřídila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možnost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dotazovat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se </w:t>
            </w:r>
            <w:r>
              <w:rPr>
                <w:color w:val="1B377C"/>
                <w:sz w:val="16"/>
              </w:rPr>
              <w:t>na obsah a realizaci ŠVP nebo služba vykazuje </w:t>
            </w:r>
            <w:r>
              <w:rPr>
                <w:color w:val="1B377C"/>
                <w:w w:val="110"/>
                <w:sz w:val="16"/>
              </w:rPr>
              <w:t>podstatné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funkční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chyby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projednat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zajistit </w:t>
            </w:r>
            <w:r>
              <w:rPr>
                <w:color w:val="1B377C"/>
                <w:spacing w:val="-2"/>
                <w:w w:val="110"/>
                <w:sz w:val="16"/>
              </w:rPr>
              <w:t>nápravu</w:t>
            </w:r>
          </w:p>
        </w:tc>
      </w:tr>
      <w:tr>
        <w:trPr>
          <w:trHeight w:val="56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3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koordinátor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vyučující,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IT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odborník,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přizvaný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nezávislý odborník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(učitel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jiné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expert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atd.).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kritérií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(2),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(5)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(6)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vybraní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zákonní</w:t>
            </w:r>
            <w:r>
              <w:rPr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žáků.</w:t>
            </w:r>
          </w:p>
        </w:tc>
      </w:tr>
    </w:tbl>
    <w:p>
      <w:pPr>
        <w:pStyle w:val="BodyText"/>
        <w:spacing w:before="76"/>
      </w:pPr>
    </w:p>
    <w:p>
      <w:pPr>
        <w:pStyle w:val="BodyText"/>
        <w:spacing w:line="244" w:lineRule="auto" w:before="1"/>
        <w:ind w:left="1808" w:right="1762"/>
      </w:pPr>
      <w:r>
        <w:rPr>
          <w:rFonts w:ascii="Arial Black" w:hAnsi="Arial Black"/>
          <w:color w:val="1B377C"/>
        </w:rPr>
        <w:t>Funkčnost</w:t>
      </w:r>
      <w:r>
        <w:rPr>
          <w:rFonts w:ascii="Arial Black" w:hAnsi="Arial Black"/>
          <w:color w:val="1B377C"/>
          <w:spacing w:val="26"/>
        </w:rPr>
        <w:t> </w:t>
      </w:r>
      <w:r>
        <w:rPr>
          <w:rFonts w:ascii="Arial Black" w:hAnsi="Arial Black"/>
          <w:color w:val="1B377C"/>
        </w:rPr>
        <w:t>ŠVP</w:t>
      </w:r>
      <w:r>
        <w:rPr>
          <w:rFonts w:ascii="Arial Black" w:hAnsi="Arial Black"/>
          <w:color w:val="1B377C"/>
          <w:spacing w:val="26"/>
        </w:rPr>
        <w:t> </w:t>
      </w:r>
      <w:r>
        <w:rPr>
          <w:color w:val="1B377C"/>
        </w:rPr>
        <w:t>hodnotíme</w:t>
      </w:r>
      <w:r>
        <w:rPr>
          <w:color w:val="1B377C"/>
          <w:spacing w:val="30"/>
        </w:rPr>
        <w:t> </w:t>
      </w:r>
      <w:r>
        <w:rPr>
          <w:color w:val="1B377C"/>
        </w:rPr>
        <w:t>v</w:t>
      </w:r>
      <w:r>
        <w:rPr>
          <w:color w:val="1B377C"/>
          <w:spacing w:val="30"/>
        </w:rPr>
        <w:t> </w:t>
      </w:r>
      <w:r>
        <w:rPr>
          <w:color w:val="1B377C"/>
        </w:rPr>
        <w:t>následujících</w:t>
      </w:r>
      <w:r>
        <w:rPr>
          <w:color w:val="1B377C"/>
          <w:spacing w:val="30"/>
        </w:rPr>
        <w:t> </w:t>
      </w:r>
      <w:r>
        <w:rPr>
          <w:color w:val="1B377C"/>
        </w:rPr>
        <w:t>letech</w:t>
      </w:r>
      <w:r>
        <w:rPr>
          <w:color w:val="1B377C"/>
          <w:spacing w:val="30"/>
        </w:rPr>
        <w:t> </w:t>
      </w:r>
      <w:r>
        <w:rPr>
          <w:color w:val="1B377C"/>
        </w:rPr>
        <w:t>po</w:t>
      </w:r>
      <w:r>
        <w:rPr>
          <w:color w:val="1B377C"/>
          <w:spacing w:val="30"/>
        </w:rPr>
        <w:t> </w:t>
      </w:r>
      <w:r>
        <w:rPr>
          <w:color w:val="1B377C"/>
        </w:rPr>
        <w:t>zahájení</w:t>
      </w:r>
      <w:r>
        <w:rPr>
          <w:color w:val="1B377C"/>
          <w:spacing w:val="30"/>
        </w:rPr>
        <w:t> </w:t>
      </w:r>
      <w:r>
        <w:rPr>
          <w:color w:val="1B377C"/>
        </w:rPr>
        <w:t>výuky</w:t>
      </w:r>
      <w:r>
        <w:rPr>
          <w:color w:val="1B377C"/>
          <w:spacing w:val="30"/>
        </w:rPr>
        <w:t> </w:t>
      </w:r>
      <w:r>
        <w:rPr>
          <w:color w:val="1B377C"/>
        </w:rPr>
        <w:t>podle</w:t>
      </w:r>
      <w:r>
        <w:rPr>
          <w:color w:val="1B377C"/>
          <w:spacing w:val="30"/>
        </w:rPr>
        <w:t> </w:t>
      </w:r>
      <w:r>
        <w:rPr>
          <w:color w:val="1B377C"/>
        </w:rPr>
        <w:t>nového</w:t>
      </w:r>
      <w:r>
        <w:rPr>
          <w:color w:val="1B377C"/>
        </w:rPr>
        <w:t> či</w:t>
      </w:r>
      <w:r>
        <w:rPr>
          <w:color w:val="1B377C"/>
          <w:spacing w:val="35"/>
        </w:rPr>
        <w:t> </w:t>
      </w:r>
      <w:r>
        <w:rPr>
          <w:color w:val="1B377C"/>
        </w:rPr>
        <w:t>upraveného</w:t>
      </w:r>
      <w:r>
        <w:rPr>
          <w:color w:val="1B377C"/>
          <w:spacing w:val="35"/>
        </w:rPr>
        <w:t> </w:t>
      </w:r>
      <w:r>
        <w:rPr>
          <w:color w:val="1B377C"/>
        </w:rPr>
        <w:t>ŠVP.</w:t>
      </w:r>
      <w:r>
        <w:rPr>
          <w:color w:val="1B377C"/>
          <w:spacing w:val="35"/>
        </w:rPr>
        <w:t> </w:t>
      </w:r>
      <w:r>
        <w:rPr>
          <w:color w:val="1B377C"/>
        </w:rPr>
        <w:t>Výsledky</w:t>
      </w:r>
      <w:r>
        <w:rPr>
          <w:color w:val="1B377C"/>
          <w:spacing w:val="35"/>
        </w:rPr>
        <w:t> </w:t>
      </w:r>
      <w:r>
        <w:rPr>
          <w:color w:val="1B377C"/>
        </w:rPr>
        <w:t>hodnocení</w:t>
      </w:r>
      <w:r>
        <w:rPr>
          <w:color w:val="1B377C"/>
          <w:spacing w:val="35"/>
        </w:rPr>
        <w:t> </w:t>
      </w:r>
      <w:r>
        <w:rPr>
          <w:color w:val="1B377C"/>
        </w:rPr>
        <w:t>průběžně</w:t>
      </w:r>
      <w:r>
        <w:rPr>
          <w:color w:val="1B377C"/>
          <w:spacing w:val="35"/>
        </w:rPr>
        <w:t> </w:t>
      </w:r>
      <w:r>
        <w:rPr>
          <w:color w:val="1B377C"/>
        </w:rPr>
        <w:t>projednáváme</w:t>
      </w:r>
      <w:r>
        <w:rPr>
          <w:color w:val="1B377C"/>
          <w:spacing w:val="35"/>
        </w:rPr>
        <w:t> </w:t>
      </w:r>
      <w:r>
        <w:rPr>
          <w:color w:val="1B377C"/>
        </w:rPr>
        <w:t>na</w:t>
      </w:r>
      <w:r>
        <w:rPr>
          <w:color w:val="1B377C"/>
          <w:spacing w:val="35"/>
        </w:rPr>
        <w:t> </w:t>
      </w:r>
      <w:r>
        <w:rPr>
          <w:color w:val="1B377C"/>
        </w:rPr>
        <w:t>pedagogických</w:t>
      </w:r>
    </w:p>
    <w:p>
      <w:pPr>
        <w:pStyle w:val="BodyText"/>
        <w:spacing w:line="264" w:lineRule="auto" w:before="17"/>
        <w:ind w:left="1808" w:right="931"/>
        <w:rPr>
          <w:sz w:val="10"/>
        </w:rPr>
      </w:pPr>
      <w:r>
        <w:rPr>
          <w:color w:val="1B377C"/>
          <w:w w:val="110"/>
        </w:rPr>
        <w:t>poradách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jednou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za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čtvrt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roku.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Obsahem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projednávání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konkrétní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aktuální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otázky </w:t>
      </w:r>
      <w:r>
        <w:rPr>
          <w:color w:val="1B377C"/>
        </w:rPr>
        <w:t>týkající</w:t>
      </w:r>
      <w:r>
        <w:rPr>
          <w:color w:val="1B377C"/>
          <w:spacing w:val="33"/>
        </w:rPr>
        <w:t> </w:t>
      </w:r>
      <w:r>
        <w:rPr>
          <w:color w:val="1B377C"/>
        </w:rPr>
        <w:t>se</w:t>
      </w:r>
      <w:r>
        <w:rPr>
          <w:color w:val="1B377C"/>
          <w:spacing w:val="33"/>
        </w:rPr>
        <w:t> </w:t>
      </w:r>
      <w:r>
        <w:rPr>
          <w:color w:val="1B377C"/>
        </w:rPr>
        <w:t>ŠVP,</w:t>
      </w:r>
      <w:r>
        <w:rPr>
          <w:color w:val="1B377C"/>
          <w:spacing w:val="33"/>
        </w:rPr>
        <w:t> </w:t>
      </w:r>
      <w:r>
        <w:rPr>
          <w:color w:val="1B377C"/>
        </w:rPr>
        <w:t>které</w:t>
      </w:r>
      <w:r>
        <w:rPr>
          <w:color w:val="1B377C"/>
          <w:spacing w:val="33"/>
        </w:rPr>
        <w:t> </w:t>
      </w:r>
      <w:r>
        <w:rPr>
          <w:color w:val="1B377C"/>
        </w:rPr>
        <w:t>vznášejí</w:t>
      </w:r>
      <w:r>
        <w:rPr>
          <w:color w:val="1B377C"/>
          <w:spacing w:val="33"/>
        </w:rPr>
        <w:t> </w:t>
      </w:r>
      <w:r>
        <w:rPr>
          <w:color w:val="1B377C"/>
        </w:rPr>
        <w:t>jednotliví</w:t>
      </w:r>
      <w:r>
        <w:rPr>
          <w:color w:val="1B377C"/>
          <w:spacing w:val="33"/>
        </w:rPr>
        <w:t> </w:t>
      </w:r>
      <w:r>
        <w:rPr>
          <w:color w:val="1B377C"/>
        </w:rPr>
        <w:t>učitelé.</w:t>
      </w:r>
      <w:r>
        <w:rPr>
          <w:color w:val="1B377C"/>
          <w:spacing w:val="33"/>
        </w:rPr>
        <w:t> </w:t>
      </w:r>
      <w:r>
        <w:rPr>
          <w:color w:val="1B377C"/>
        </w:rPr>
        <w:t>K</w:t>
      </w:r>
      <w:r>
        <w:rPr>
          <w:color w:val="1B377C"/>
          <w:spacing w:val="33"/>
        </w:rPr>
        <w:t> </w:t>
      </w:r>
      <w:r>
        <w:rPr>
          <w:color w:val="1B377C"/>
        </w:rPr>
        <w:t>případným</w:t>
      </w:r>
      <w:r>
        <w:rPr>
          <w:color w:val="1B377C"/>
          <w:spacing w:val="33"/>
        </w:rPr>
        <w:t> </w:t>
      </w:r>
      <w:r>
        <w:rPr>
          <w:color w:val="1B377C"/>
        </w:rPr>
        <w:t>úpravám</w:t>
      </w:r>
      <w:r>
        <w:rPr>
          <w:color w:val="1B377C"/>
          <w:spacing w:val="33"/>
        </w:rPr>
        <w:t> </w:t>
      </w:r>
      <w:r>
        <w:rPr>
          <w:color w:val="1B377C"/>
        </w:rPr>
        <w:t>ŠVP</w:t>
      </w:r>
      <w:r>
        <w:rPr>
          <w:color w:val="1B377C"/>
          <w:spacing w:val="33"/>
        </w:rPr>
        <w:t> </w:t>
      </w:r>
      <w:r>
        <w:rPr>
          <w:color w:val="1B377C"/>
        </w:rPr>
        <w:t>přistupujeme</w:t>
      </w:r>
      <w:r>
        <w:rPr>
          <w:color w:val="1B377C"/>
          <w:spacing w:val="33"/>
        </w:rPr>
        <w:t> </w:t>
      </w:r>
      <w:r>
        <w:rPr>
          <w:color w:val="1B377C"/>
        </w:rPr>
        <w:t>po </w:t>
      </w:r>
      <w:r>
        <w:rPr>
          <w:color w:val="1B377C"/>
          <w:w w:val="110"/>
        </w:rPr>
        <w:t>dvou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letech.</w:t>
      </w:r>
      <w:r>
        <w:rPr>
          <w:color w:val="1B377C"/>
          <w:w w:val="110"/>
          <w:position w:val="6"/>
          <w:sz w:val="10"/>
        </w:rPr>
        <w:t>2</w:t>
      </w:r>
    </w:p>
    <w:p>
      <w:pPr>
        <w:pStyle w:val="BodyText"/>
        <w:spacing w:line="264" w:lineRule="auto" w:before="143"/>
        <w:ind w:left="1808" w:right="1455"/>
      </w:pPr>
      <w:r>
        <w:rPr>
          <w:color w:val="1B377C"/>
          <w:w w:val="105"/>
        </w:rPr>
        <w:t>Funkčnost ŠVP hodnotíme podle kritérií a indikátorů, které jsme zvolili k jednotlivým prvkům hodnocení a které obsahuje následující tabulka: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1872000</wp:posOffset>
                </wp:positionH>
                <wp:positionV relativeFrom="paragraph">
                  <wp:posOffset>217781</wp:posOffset>
                </wp:positionV>
                <wp:extent cx="914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7.148165pt;width:72pt;height:.1pt;mso-position-horizontal-relative:page;mso-position-vertical-relative:paragraph;z-index:-15724544;mso-wrap-distance-left:0;mso-wrap-distance-right:0" id="docshape17" coordorigin="2948,343" coordsize="1440,0" path="m2948,343l4388,343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2305" w:val="left" w:leader="none"/>
        </w:tabs>
        <w:spacing w:line="326" w:lineRule="auto" w:before="136" w:after="0"/>
        <w:ind w:left="1808" w:right="1698" w:firstLine="0"/>
        <w:jc w:val="left"/>
        <w:rPr>
          <w:sz w:val="14"/>
        </w:rPr>
      </w:pPr>
      <w:r>
        <w:rPr>
          <w:color w:val="1B377C"/>
          <w:w w:val="105"/>
          <w:sz w:val="14"/>
        </w:rPr>
        <w:t>V nutných případech realizujeme úpravy ŠVP a dalších dokumentů školy i v kratším horizontu, nebo</w:t>
      </w:r>
      <w:r>
        <w:rPr>
          <w:color w:val="1B377C"/>
          <w:spacing w:val="80"/>
          <w:w w:val="105"/>
          <w:sz w:val="14"/>
        </w:rPr>
        <w:t> </w:t>
      </w:r>
      <w:r>
        <w:rPr>
          <w:color w:val="1B377C"/>
          <w:w w:val="105"/>
          <w:sz w:val="14"/>
        </w:rPr>
        <w:t>konkrétní kritérium vyhodnocujeme déle.</w:t>
      </w:r>
    </w:p>
    <w:p>
      <w:pPr>
        <w:spacing w:after="0" w:line="326" w:lineRule="auto"/>
        <w:jc w:val="left"/>
        <w:rPr>
          <w:sz w:val="14"/>
        </w:rPr>
        <w:sectPr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356" w:hRule="atLeast"/>
        </w:trPr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Kritéria</w:t>
            </w:r>
            <w:r>
              <w:rPr>
                <w:rFonts w:ascii="Cambria" w:hAnsi="Cambria"/>
                <w:b/>
                <w:color w:val="1B377C"/>
                <w:spacing w:val="38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hodnocení</w:t>
            </w:r>
          </w:p>
        </w:tc>
        <w:tc>
          <w:tcPr>
            <w:tcW w:w="3855" w:type="dxa"/>
            <w:shd w:val="clear" w:color="auto" w:fill="EFF5FF"/>
          </w:tcPr>
          <w:p>
            <w:pPr>
              <w:pStyle w:val="TableParagraph"/>
              <w:spacing w:before="77"/>
              <w:ind w:left="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1B377C"/>
                <w:sz w:val="18"/>
              </w:rPr>
              <w:t>Indikátory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z w:val="18"/>
              </w:rPr>
              <w:t>a</w:t>
            </w:r>
            <w:r>
              <w:rPr>
                <w:rFonts w:ascii="Cambria" w:hAnsi="Cambria"/>
                <w:b/>
                <w:color w:val="1B377C"/>
                <w:spacing w:val="33"/>
                <w:sz w:val="18"/>
              </w:rPr>
              <w:t> </w:t>
            </w:r>
            <w:r>
              <w:rPr>
                <w:rFonts w:ascii="Cambria" w:hAnsi="Cambria"/>
                <w:b/>
                <w:color w:val="1B377C"/>
                <w:spacing w:val="-2"/>
                <w:sz w:val="18"/>
              </w:rPr>
              <w:t>opatření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5"/>
              <w:ind w:left="85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ŠVP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</w:t>
            </w:r>
            <w:r>
              <w:rPr>
                <w:rFonts w:ascii="Arial Black" w:hAnsi="Arial Black"/>
                <w:color w:val="1B377C"/>
                <w:spacing w:val="-6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využíván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pro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plánování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výuky</w:t>
            </w:r>
          </w:p>
        </w:tc>
      </w:tr>
      <w:tr>
        <w:trPr>
          <w:trHeight w:val="1199" w:hRule="atLeast"/>
        </w:trPr>
        <w:tc>
          <w:tcPr>
            <w:tcW w:w="3855" w:type="dxa"/>
          </w:tcPr>
          <w:p>
            <w:pPr>
              <w:pStyle w:val="TableParagraph"/>
              <w:spacing w:before="107"/>
              <w:rPr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85" w:right="671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ŠVP je vhodným a návodným podkladem </w:t>
            </w:r>
            <w:r>
              <w:rPr>
                <w:color w:val="1B377C"/>
                <w:spacing w:val="-2"/>
                <w:w w:val="110"/>
                <w:sz w:val="16"/>
              </w:rPr>
              <w:t>pro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plánování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výuky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učiteli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konkrétních </w:t>
            </w:r>
            <w:r>
              <w:rPr>
                <w:color w:val="1B377C"/>
                <w:w w:val="110"/>
                <w:sz w:val="16"/>
              </w:rPr>
              <w:t>předmětech a ročnících.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plánování výuky probíhá na základě ŠVP, učitelé pravidelně se ŠVP pracují a zpětně své plány výuky a výsledky vzdělávání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požadavky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porovnávají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vzájemné informace o plánování výuky, bez úprav</w:t>
            </w:r>
          </w:p>
        </w:tc>
      </w:tr>
      <w:tr>
        <w:trPr>
          <w:trHeight w:val="161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533" w:hanging="199"/>
              <w:jc w:val="both"/>
              <w:rPr>
                <w:sz w:val="16"/>
              </w:rPr>
            </w:pPr>
            <w:r>
              <w:rPr>
                <w:color w:val="1B377C"/>
                <w:sz w:val="16"/>
              </w:rPr>
              <w:t>— plánování výuky probíhá na základě ŠVP </w:t>
            </w:r>
            <w:r>
              <w:rPr>
                <w:color w:val="1B377C"/>
                <w:w w:val="110"/>
                <w:sz w:val="16"/>
              </w:rPr>
              <w:t>jen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dílčím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způsobem,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učitelé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inspirují v mnoha směrech jinde – vzájemné</w:t>
            </w:r>
          </w:p>
          <w:p>
            <w:pPr>
              <w:pStyle w:val="TableParagraph"/>
              <w:spacing w:line="261" w:lineRule="auto"/>
              <w:ind w:left="283" w:right="299"/>
              <w:jc w:val="both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projednání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posouzení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plánování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ve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vazbě </w:t>
            </w:r>
            <w:r>
              <w:rPr>
                <w:color w:val="1B377C"/>
                <w:sz w:val="16"/>
              </w:rPr>
              <w:t>na ŠVP, dohoda o změnách v ŠVP, případně</w:t>
            </w:r>
            <w:r>
              <w:rPr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 zpracování dalších podkladových textů</w:t>
            </w:r>
          </w:p>
          <w:p>
            <w:pPr>
              <w:pStyle w:val="TableParagraph"/>
              <w:spacing w:line="191" w:lineRule="exact"/>
              <w:ind w:left="283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</w:t>
            </w:r>
            <w:r>
              <w:rPr>
                <w:color w:val="1B377C"/>
                <w:spacing w:val="-8"/>
                <w:w w:val="105"/>
                <w:sz w:val="16"/>
              </w:rPr>
              <w:t> </w:t>
            </w:r>
            <w:r>
              <w:rPr>
                <w:color w:val="1B377C"/>
                <w:spacing w:val="-5"/>
                <w:w w:val="105"/>
                <w:sz w:val="16"/>
              </w:rPr>
              <w:t>ŠVP</w:t>
            </w:r>
          </w:p>
        </w:tc>
      </w:tr>
      <w:tr>
        <w:trPr>
          <w:trHeight w:val="161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326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ŠVP není podkladem pro plánování výuky, </w:t>
            </w:r>
            <w:r>
              <w:rPr>
                <w:color w:val="1B377C"/>
                <w:w w:val="110"/>
                <w:sz w:val="16"/>
              </w:rPr>
              <w:t>nebo podrobnější plánování neprobíhá</w:t>
            </w:r>
          </w:p>
          <w:p>
            <w:pPr>
              <w:pStyle w:val="TableParagraph"/>
              <w:spacing w:line="261" w:lineRule="auto"/>
              <w:ind w:left="283" w:right="183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projednání,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snaha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úpravu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ŠVP,</w:t>
            </w:r>
            <w:r>
              <w:rPr>
                <w:color w:val="1B377C"/>
                <w:spacing w:val="-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ale především změnu přístupu konkrétních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sz w:val="16"/>
              </w:rPr>
              <w:t>učitelů k plánování práce ve výuce, vzdělávání učitelů v dané problematice, ukázky plánování</w:t>
            </w:r>
            <w:r>
              <w:rPr>
                <w:color w:val="1B377C"/>
                <w:w w:val="110"/>
                <w:sz w:val="16"/>
              </w:rPr>
              <w:t> </w:t>
            </w:r>
            <w:r>
              <w:rPr>
                <w:color w:val="1B377C"/>
                <w:spacing w:val="-4"/>
                <w:w w:val="110"/>
                <w:sz w:val="16"/>
              </w:rPr>
              <w:t>výuky</w:t>
            </w:r>
          </w:p>
        </w:tc>
      </w:tr>
      <w:tr>
        <w:trPr>
          <w:trHeight w:val="56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3"/>
              <w:ind w:left="84" w:right="199"/>
              <w:rPr>
                <w:sz w:val="16"/>
              </w:rPr>
            </w:pPr>
            <w:r>
              <w:rPr>
                <w:rFonts w:ascii="Arial Black" w:hAnsi="Arial Black"/>
                <w:color w:val="1B377C"/>
                <w:sz w:val="16"/>
              </w:rPr>
              <w:t>Kdo hodnotí: </w:t>
            </w:r>
            <w:r>
              <w:rPr>
                <w:color w:val="1B377C"/>
                <w:sz w:val="16"/>
              </w:rPr>
              <w:t>Všichni učitelé ve spolupráci s koordinátorem ŠVP a vedením školy, přizvaný expert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mimo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školu.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3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Vhodnost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obsahového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časového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rozvržení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vzdělávacího</w:t>
            </w:r>
            <w:r>
              <w:rPr>
                <w:rFonts w:ascii="Arial Black" w:hAnsi="Arial Black"/>
                <w:color w:val="1B377C"/>
                <w:spacing w:val="-3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obsahu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do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ročníků</w:t>
            </w:r>
          </w:p>
        </w:tc>
      </w:tr>
      <w:tr>
        <w:trPr>
          <w:trHeight w:val="77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8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59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Členění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školních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odpovídá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potřebám osvojení OVU v uzlových bodech.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9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2"/>
                <w:sz w:val="16"/>
              </w:rPr>
              <w:t> </w:t>
            </w:r>
            <w:r>
              <w:rPr>
                <w:color w:val="1B377C"/>
                <w:sz w:val="16"/>
              </w:rPr>
              <w:t>školní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z w:val="16"/>
              </w:rPr>
              <w:t>jsou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nastaveny</w:t>
            </w:r>
            <w:r>
              <w:rPr>
                <w:color w:val="1B377C"/>
                <w:spacing w:val="2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obsahově</w:t>
            </w:r>
          </w:p>
          <w:p>
            <w:pPr>
              <w:pStyle w:val="TableParagraph"/>
              <w:spacing w:line="261" w:lineRule="auto" w:before="17"/>
              <w:ind w:left="283" w:right="183"/>
              <w:rPr>
                <w:sz w:val="16"/>
              </w:rPr>
            </w:pPr>
            <w:r>
              <w:rPr>
                <w:color w:val="1B377C"/>
                <w:sz w:val="16"/>
              </w:rPr>
              <w:t>i v časové posloupnosti (postupné kroky) </w:t>
            </w:r>
            <w:r>
              <w:rPr>
                <w:color w:val="1B377C"/>
                <w:w w:val="110"/>
                <w:sz w:val="16"/>
              </w:rPr>
              <w:t>vhodně,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není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potřeba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měnit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bez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 nastavení obsahové či časové posloupnosti (postupných krocích) školních OVU jsou dílčí problémy – projednání, konkrétní úpravy ŠVP (doplnění, krácení, přesuny)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 nastavení obsahové či časové posloupnosti (postupných krocích) školních OVU jsou zjištěny podstatné problémy – projednání, konkrétní úpravy, zásadnější korekce obsahu </w:t>
            </w:r>
            <w:r>
              <w:rPr>
                <w:color w:val="1B377C"/>
                <w:spacing w:val="-4"/>
                <w:w w:val="105"/>
                <w:sz w:val="16"/>
              </w:rPr>
              <w:t>ŠVP</w:t>
            </w:r>
          </w:p>
        </w:tc>
      </w:tr>
      <w:tr>
        <w:trPr>
          <w:trHeight w:val="98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9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303"/>
              <w:rPr>
                <w:sz w:val="16"/>
              </w:rPr>
            </w:pPr>
            <w:r>
              <w:rPr>
                <w:color w:val="1B377C"/>
                <w:sz w:val="16"/>
              </w:rPr>
              <w:t>Návaznost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rámci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vyučovacích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předmětů</w:t>
            </w:r>
            <w:r>
              <w:rPr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 mezi nimi navzájem je vhodná a rozvíjí mezipředmětové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vazby.</w:t>
            </w:r>
          </w:p>
        </w:tc>
        <w:tc>
          <w:tcPr>
            <w:tcW w:w="3855" w:type="dxa"/>
          </w:tcPr>
          <w:p>
            <w:pPr>
              <w:pStyle w:val="TableParagraph"/>
              <w:spacing w:before="88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0"/>
                <w:sz w:val="16"/>
              </w:rPr>
              <w:t> </w:t>
            </w:r>
            <w:r>
              <w:rPr>
                <w:color w:val="1B377C"/>
                <w:sz w:val="16"/>
              </w:rPr>
              <w:t>školní</w:t>
            </w:r>
            <w:r>
              <w:rPr>
                <w:color w:val="1B377C"/>
                <w:spacing w:val="19"/>
                <w:sz w:val="16"/>
              </w:rPr>
              <w:t> </w:t>
            </w:r>
            <w:r>
              <w:rPr>
                <w:color w:val="1B377C"/>
                <w:sz w:val="16"/>
              </w:rPr>
              <w:t>OVU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z w:val="16"/>
              </w:rPr>
              <w:t>na</w:t>
            </w:r>
            <w:r>
              <w:rPr>
                <w:color w:val="1B377C"/>
                <w:spacing w:val="19"/>
                <w:sz w:val="16"/>
              </w:rPr>
              <w:t> </w:t>
            </w:r>
            <w:r>
              <w:rPr>
                <w:color w:val="1B377C"/>
                <w:sz w:val="16"/>
              </w:rPr>
              <w:t>sebe</w:t>
            </w:r>
            <w:r>
              <w:rPr>
                <w:color w:val="1B377C"/>
                <w:spacing w:val="18"/>
                <w:sz w:val="16"/>
              </w:rPr>
              <w:t> </w:t>
            </w:r>
            <w:r>
              <w:rPr>
                <w:color w:val="1B377C"/>
                <w:sz w:val="16"/>
              </w:rPr>
              <w:t>logicky</w:t>
            </w:r>
            <w:r>
              <w:rPr>
                <w:color w:val="1B377C"/>
                <w:spacing w:val="19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obsahově</w:t>
            </w:r>
          </w:p>
          <w:p>
            <w:pPr>
              <w:pStyle w:val="TableParagraph"/>
              <w:spacing w:line="261" w:lineRule="auto" w:before="17"/>
              <w:ind w:left="283" w:right="1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časově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navazují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rámci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daného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vyučovacího předmětu i mezi různými předměty – bez </w:t>
            </w:r>
            <w:r>
              <w:rPr>
                <w:color w:val="1B377C"/>
                <w:spacing w:val="-2"/>
                <w:w w:val="105"/>
                <w:sz w:val="16"/>
              </w:rPr>
              <w:t>úprav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8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vyskytují se dílčí problémy v návaznosti školních OVU v rámci vyučovacích předmětů nebo mezi předměty – projednat, upravit </w:t>
            </w:r>
            <w:r>
              <w:rPr>
                <w:color w:val="1B377C"/>
                <w:spacing w:val="-2"/>
                <w:w w:val="105"/>
                <w:sz w:val="16"/>
              </w:rPr>
              <w:t>návaznosti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8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některé obsahy na sebe nenavazují, není zajištěno logické rozvíjení vzdělávacího obsahu, některé obsahy se vlivem vývoje oboru změnily – projednání, úpravy, přesuny </w:t>
            </w:r>
            <w:r>
              <w:rPr>
                <w:color w:val="1B377C"/>
                <w:spacing w:val="-4"/>
                <w:w w:val="105"/>
                <w:sz w:val="16"/>
              </w:rPr>
              <w:t>OVU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1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579" w:top="1380" w:bottom="2427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59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line="254" w:lineRule="auto" w:before="75"/>
              <w:ind w:left="85" w:right="19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Dosahovaná úroveň a kvalita osvojení OVU jednotlivých vyučovacích předmětů či jiných </w:t>
            </w:r>
            <w:r>
              <w:rPr>
                <w:rFonts w:ascii="Arial Black" w:hAnsi="Arial Black"/>
                <w:color w:val="1B377C"/>
                <w:sz w:val="16"/>
              </w:rPr>
              <w:t>forem</w:t>
            </w:r>
            <w:r>
              <w:rPr>
                <w:rFonts w:ascii="Arial Black" w:hAnsi="Arial Black"/>
                <w:color w:val="1B377C"/>
                <w:spacing w:val="-9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z w:val="16"/>
              </w:rPr>
              <w:t>vzdělávání</w:t>
            </w:r>
          </w:p>
        </w:tc>
      </w:tr>
      <w:tr>
        <w:trPr>
          <w:trHeight w:val="1199" w:hRule="atLeast"/>
        </w:trPr>
        <w:tc>
          <w:tcPr>
            <w:tcW w:w="3855" w:type="dxa"/>
          </w:tcPr>
          <w:p>
            <w:pPr>
              <w:pStyle w:val="TableParagraph"/>
              <w:spacing w:before="142"/>
              <w:rPr>
                <w:sz w:val="16"/>
              </w:rPr>
            </w:pPr>
          </w:p>
          <w:p>
            <w:pPr>
              <w:pStyle w:val="TableParagraph"/>
              <w:spacing w:line="434" w:lineRule="auto" w:before="1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zvládají OVU podle nastavených kritérií. Kritéria osvojení OVU jsou vhodně zvolena.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126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žáci zvládají školní OVU podle zvolených kritérií, kritéria osvojení OVU jsou srozumitelná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výsledků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učení i sebehodnocení žáků vhodně nastavená – bez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>
        <w:trPr>
          <w:trHeight w:val="140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6"/>
              <w:rPr>
                <w:sz w:val="16"/>
              </w:rPr>
            </w:pPr>
          </w:p>
          <w:p>
            <w:pPr>
              <w:pStyle w:val="TableParagraph"/>
              <w:spacing w:line="434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Žáci zvládají OVU podle nastavených kritérií. Kritéria osvojení OVU jsou vhodně zvolena.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10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 žáci některá OVU nezvládají podle vymezených kritérií, kritéria osvojení OVU nejsou zcela srozumitelná a pro hodnocení výsledků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učení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sebehodnocení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žáků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nejsou vhodně nastavená – projednat, upravit, zařadit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podpůrná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opatření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konkrétní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žáky</w:t>
            </w:r>
          </w:p>
        </w:tc>
      </w:tr>
      <w:tr>
        <w:trPr>
          <w:trHeight w:val="161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17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žáci některá OVU nezvládají podle nastavených </w:t>
            </w:r>
            <w:r>
              <w:rPr>
                <w:color w:val="1B377C"/>
                <w:w w:val="110"/>
                <w:sz w:val="16"/>
              </w:rPr>
              <w:t>kritérií,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kritéria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osvojení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nejsou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zcela </w:t>
            </w:r>
            <w:r>
              <w:rPr>
                <w:color w:val="1B377C"/>
                <w:sz w:val="16"/>
              </w:rPr>
              <w:t>srozumitelná, jsou příliš náročná, nebo naopak příliš snadná a nemotivují žáky k dalšímu učení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projednat,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upravit,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zcela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změnit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nastavení některých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školních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OVU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kritérií</w:t>
            </w:r>
            <w:r>
              <w:rPr>
                <w:color w:val="1B377C"/>
                <w:spacing w:val="-11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osvojení, zařadit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podpůrná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opatření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pro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konkrétní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žáky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4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4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Vhodnost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účinnost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vzdělávacích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strategií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učitelů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</w:t>
            </w:r>
            <w:r>
              <w:rPr>
                <w:rFonts w:ascii="Arial Black" w:hAnsi="Arial Black"/>
                <w:color w:val="1B377C"/>
                <w:spacing w:val="-1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jednotlivých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vyučovacích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 předmětech</w:t>
            </w:r>
          </w:p>
        </w:tc>
      </w:tr>
      <w:tr>
        <w:trPr>
          <w:trHeight w:val="98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3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395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Vzdělávací strategie učitele jsou využívány </w:t>
            </w:r>
            <w:r>
              <w:rPr>
                <w:color w:val="1B377C"/>
                <w:sz w:val="16"/>
              </w:rPr>
              <w:t>ve výuce především pro osvojování klíčových </w:t>
            </w:r>
            <w:r>
              <w:rPr>
                <w:color w:val="1B377C"/>
                <w:spacing w:val="2"/>
                <w:sz w:val="16"/>
              </w:rPr>
              <w:t>kompetencí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pacing w:val="2"/>
                <w:sz w:val="16"/>
              </w:rPr>
              <w:t>a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pacing w:val="2"/>
                <w:sz w:val="16"/>
              </w:rPr>
              <w:t>základních</w:t>
            </w:r>
            <w:r>
              <w:rPr>
                <w:color w:val="1B377C"/>
                <w:spacing w:val="31"/>
                <w:sz w:val="16"/>
              </w:rPr>
              <w:t> </w:t>
            </w:r>
            <w:r>
              <w:rPr>
                <w:color w:val="1B377C"/>
                <w:spacing w:val="2"/>
                <w:sz w:val="16"/>
              </w:rPr>
              <w:t>gramotností</w:t>
            </w:r>
            <w:r>
              <w:rPr>
                <w:color w:val="1B377C"/>
                <w:spacing w:val="30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podle</w:t>
            </w:r>
          </w:p>
          <w:p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vazeb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vymezených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RVP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ZV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(s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korekcemi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 jednotlivých předmětů pro konkrétní ročníky</w:t>
            </w:r>
          </w:p>
          <w:p>
            <w:pPr>
              <w:pStyle w:val="TableParagraph"/>
              <w:spacing w:line="192" w:lineRule="exact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činnosti).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vzdělávací strategie učitelů jsou cíleně uplatňované v daných vyučovacích předmětech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utváření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KK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ZG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žáků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 diskuse o jejich účinnosti, bez úprav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vzdělávací strategie učitelů nejsou dostatečně využívány, případně jsou některé z nich nefunkční (nesprávně nastavené, formální)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– diskuse o funkčnosti strategií, vzdělávání učitelů, korekce vzdělávacích strategií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vzdělávací strategie učitelů nejsou využívány, fungují jako formální prvek ŠVP – diskuse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 vzdělávacích strategiích, jejich smyslu, vzdělávání učitelů, náslechy u učitelů, kteří strategie uplatňují, úpravy ŠVP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2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koordinátorem</w:t>
            </w:r>
            <w:r>
              <w:rPr>
                <w:color w:val="1B377C"/>
                <w:spacing w:val="-1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ŠVP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12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školy.</w:t>
            </w:r>
          </w:p>
        </w:tc>
      </w:tr>
      <w:tr>
        <w:trPr>
          <w:trHeight w:val="359" w:hRule="atLeast"/>
        </w:trPr>
        <w:tc>
          <w:tcPr>
            <w:tcW w:w="7710" w:type="dxa"/>
            <w:gridSpan w:val="2"/>
            <w:shd w:val="clear" w:color="auto" w:fill="F3F3F3"/>
          </w:tcPr>
          <w:p>
            <w:pPr>
              <w:pStyle w:val="TableParagraph"/>
              <w:spacing w:before="72"/>
              <w:ind w:left="84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1B377C"/>
                <w:w w:val="90"/>
                <w:sz w:val="16"/>
              </w:rPr>
              <w:t>Škola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plánuje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realizuje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nejen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výuku,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ale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i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život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školy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ve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shodě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s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vizí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školy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a</w:t>
            </w:r>
            <w:r>
              <w:rPr>
                <w:rFonts w:ascii="Arial Black" w:hAnsi="Arial Black"/>
                <w:color w:val="1B377C"/>
                <w:spacing w:val="-4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90"/>
                <w:sz w:val="16"/>
              </w:rPr>
              <w:t>kulturou</w:t>
            </w:r>
            <w:r>
              <w:rPr>
                <w:rFonts w:ascii="Arial Black" w:hAnsi="Arial Black"/>
                <w:color w:val="1B377C"/>
                <w:spacing w:val="-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spacing w:val="-2"/>
                <w:w w:val="90"/>
                <w:sz w:val="16"/>
              </w:rPr>
              <w:t>školy</w:t>
            </w:r>
          </w:p>
        </w:tc>
      </w:tr>
      <w:tr>
        <w:trPr>
          <w:trHeight w:val="119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7"/>
              <w:rPr>
                <w:sz w:val="16"/>
              </w:rPr>
            </w:pPr>
          </w:p>
          <w:p>
            <w:pPr>
              <w:pStyle w:val="TableParagraph"/>
              <w:spacing w:line="261" w:lineRule="auto" w:before="1"/>
              <w:ind w:left="84" w:right="174"/>
              <w:rPr>
                <w:sz w:val="16"/>
              </w:rPr>
            </w:pPr>
            <w:r>
              <w:rPr>
                <w:color w:val="1B377C"/>
                <w:sz w:val="16"/>
              </w:rPr>
              <w:t>Je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vytvořen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funkční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systém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předávání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informací</w:t>
            </w:r>
            <w:r>
              <w:rPr>
                <w:color w:val="1B377C"/>
                <w:spacing w:val="8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zpětné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vazby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ve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škole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směrem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</w:t>
            </w:r>
            <w:r>
              <w:rPr>
                <w:color w:val="1B377C"/>
                <w:spacing w:val="-8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zákonným zástupcům i partnerům školy.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8"/>
              <w:ind w:left="282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9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na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škole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existuje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funkční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systém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předávání informací směrem k učitelům, žákům, zákonným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zástupcům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partnerům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zpětné </w:t>
            </w:r>
            <w:r>
              <w:rPr>
                <w:color w:val="1B377C"/>
                <w:sz w:val="16"/>
              </w:rPr>
              <w:t>vazby, fungují osobní kontakty i elektronické </w:t>
            </w:r>
            <w:r>
              <w:rPr>
                <w:color w:val="1B377C"/>
                <w:w w:val="110"/>
                <w:sz w:val="16"/>
              </w:rPr>
              <w:t>předávání informací – bez úprav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8"/>
              <w:ind w:left="282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na škole existuje systém předávání informací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směrem k učitelům, žákům, zákonným zástupcům a partnerům i zpětné vazby,</w:t>
            </w:r>
          </w:p>
          <w:p>
            <w:pPr>
              <w:pStyle w:val="TableParagraph"/>
              <w:spacing w:line="261" w:lineRule="auto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ale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některé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vazby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vykazují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problémy</w:t>
            </w:r>
            <w:r>
              <w:rPr>
                <w:color w:val="1B377C"/>
                <w:spacing w:val="-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 projednání,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náprava</w:t>
            </w:r>
          </w:p>
        </w:tc>
      </w:tr>
      <w:tr>
        <w:trPr>
          <w:trHeight w:val="140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7"/>
              <w:ind w:left="282" w:right="1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na škole existuje systém předávání informací </w:t>
            </w:r>
            <w:r>
              <w:rPr>
                <w:color w:val="1B377C"/>
                <w:w w:val="110"/>
                <w:sz w:val="16"/>
              </w:rPr>
              <w:t>směrem k učitelům, žákům, zákonným zástupcům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partnerům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i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zpětné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vazby,</w:t>
            </w:r>
            <w:r>
              <w:rPr>
                <w:color w:val="1B377C"/>
                <w:spacing w:val="-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ale je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mnoha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směrech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nefunkční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nebo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špatně </w:t>
            </w:r>
            <w:r>
              <w:rPr>
                <w:color w:val="1B377C"/>
                <w:sz w:val="16"/>
              </w:rPr>
              <w:t>využívaný – projednání, náprava </w:t>
            </w:r>
            <w:r>
              <w:rPr>
                <w:color w:val="1B377C"/>
                <w:sz w:val="16"/>
              </w:rPr>
              <w:t>nefunkčních</w:t>
            </w:r>
            <w:r>
              <w:rPr>
                <w:color w:val="1B377C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vazeb</w:t>
            </w:r>
          </w:p>
        </w:tc>
      </w:tr>
    </w:tbl>
    <w:p>
      <w:pPr>
        <w:spacing w:after="0" w:line="261" w:lineRule="auto"/>
        <w:rPr>
          <w:sz w:val="16"/>
        </w:rPr>
        <w:sectPr>
          <w:type w:val="continuous"/>
          <w:pgSz w:w="11910" w:h="16840"/>
          <w:pgMar w:header="0" w:footer="579" w:top="1380" w:bottom="1359" w:left="1140" w:right="60"/>
        </w:sectPr>
      </w:pPr>
    </w:p>
    <w:tbl>
      <w:tblPr>
        <w:tblW w:w="0" w:type="auto"/>
        <w:jc w:val="left"/>
        <w:tblInd w:w="1818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98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3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systém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profesního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932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9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zajímají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 a sebevzdělávání, funguje systém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vzdělávacích nabídek, podle potřeby učitelů – vyhodnocování, bez úprav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before="90"/>
              <w:ind w:left="85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z w:val="16"/>
              </w:rPr>
              <w:t>učitelé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z w:val="16"/>
              </w:rPr>
              <w:t>zajímají</w:t>
            </w:r>
            <w:r>
              <w:rPr>
                <w:color w:val="1B377C"/>
                <w:spacing w:val="1"/>
                <w:sz w:val="16"/>
              </w:rPr>
              <w:t> </w:t>
            </w:r>
            <w:r>
              <w:rPr>
                <w:color w:val="1B377C"/>
                <w:sz w:val="16"/>
              </w:rPr>
              <w:t>o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z w:val="16"/>
              </w:rPr>
              <w:t>své</w:t>
            </w:r>
            <w:r>
              <w:rPr>
                <w:color w:val="1B377C"/>
                <w:spacing w:val="2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vzdělávání</w:t>
            </w:r>
          </w:p>
          <w:p>
            <w:pPr>
              <w:pStyle w:val="TableParagraph"/>
              <w:spacing w:line="261" w:lineRule="auto" w:before="17"/>
              <w:ind w:left="283" w:right="14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-1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sebevzdělávání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částečně,</w:t>
            </w:r>
            <w:r>
              <w:rPr>
                <w:color w:val="1B377C"/>
                <w:spacing w:val="-15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nabídky</w:t>
            </w:r>
            <w:r>
              <w:rPr>
                <w:color w:val="1B377C"/>
                <w:spacing w:val="-1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vzdělávání nepokrývají nejdůležitější potřeby učitelů – vyhodnocování, úpravy plánu rozvoje PP</w:t>
            </w:r>
          </w:p>
        </w:tc>
      </w:tr>
      <w:tr>
        <w:trPr>
          <w:trHeight w:val="989" w:hRule="atLeast"/>
        </w:trPr>
        <w:tc>
          <w:tcPr>
            <w:tcW w:w="385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Funguje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systém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profesního</w:t>
            </w:r>
            <w:r>
              <w:rPr>
                <w:color w:val="1B377C"/>
                <w:spacing w:val="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rozvoje</w:t>
            </w:r>
            <w:r>
              <w:rPr>
                <w:color w:val="1B377C"/>
                <w:spacing w:val="5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učitelů.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864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učitelé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se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zajímají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své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vzdělávání </w:t>
            </w:r>
            <w:r>
              <w:rPr>
                <w:color w:val="1B377C"/>
                <w:sz w:val="16"/>
              </w:rPr>
              <w:t>a sebevzdělávání málo nebo vůbec,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nabídka vzdělávání je dílčí a náhodná – vyhodnocování, úpravy plánu rozvoje PP</w:t>
            </w:r>
          </w:p>
        </w:tc>
      </w:tr>
      <w:tr>
        <w:trPr>
          <w:trHeight w:val="140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6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74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Kvalita výuky je pravidelně analyzována a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vyhodnocována.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18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1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provádějí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analýzu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kvality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své</w:t>
            </w:r>
            <w:r>
              <w:rPr>
                <w:color w:val="1B377C"/>
                <w:spacing w:val="-4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výuky, jsou prováděny hospitace a vzájemné hospitace, učitelé pravidelně diskutují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sz w:val="16"/>
              </w:rPr>
              <w:t>o vzdělávání žáků – pravidelné projednávání </w:t>
            </w:r>
            <w:r>
              <w:rPr>
                <w:color w:val="1B377C"/>
                <w:w w:val="110"/>
                <w:sz w:val="16"/>
              </w:rPr>
              <w:t>výsledků analýz a inspekčních zpráv, bez nutných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úprav</w:t>
            </w:r>
          </w:p>
        </w:tc>
      </w:tr>
      <w:tr>
        <w:trPr>
          <w:trHeight w:val="140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7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učitelé provádějí analýzu kvality své výuky, jsou </w:t>
            </w:r>
            <w:r>
              <w:rPr>
                <w:color w:val="1B377C"/>
                <w:w w:val="110"/>
                <w:sz w:val="16"/>
              </w:rPr>
              <w:t>prováděny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hospitace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vzájemné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hospitace,</w:t>
            </w:r>
            <w:r>
              <w:rPr>
                <w:color w:val="1B377C"/>
                <w:w w:val="110"/>
                <w:sz w:val="16"/>
              </w:rPr>
              <w:t> ale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ne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pravidelně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cíleně,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diskuse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</w:t>
            </w:r>
            <w:r>
              <w:rPr>
                <w:color w:val="1B377C"/>
                <w:spacing w:val="-12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kvalitě vzdělávání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žáků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občasné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–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pravidelné projednávání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kvality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výuky,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systémové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dílčí úpravy hodnocení kvality výuky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73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neprovádějí pravidelně analýzu kvality své výuky, hospitace a vzájemné hospitace nejsou funkční, učitelé mezi sebou nediskutují o kvalitě vzdělávání žáků – nutné systémové úpravy hodnocení kvality výuky</w:t>
            </w:r>
          </w:p>
        </w:tc>
      </w:tr>
      <w:tr>
        <w:trPr>
          <w:trHeight w:val="119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6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 w:right="1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Formativní a kriteriální hodnocení žáků je prakticky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realizováno.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2" w:right="395" w:hanging="199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— učitelé uplatňují formativní a kriteriální </w:t>
            </w:r>
            <w:r>
              <w:rPr>
                <w:color w:val="1B377C"/>
                <w:sz w:val="16"/>
              </w:rPr>
              <w:t>hodnocení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průběžně,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seznamují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žáky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s</w:t>
            </w:r>
            <w:r>
              <w:rPr>
                <w:color w:val="1B377C"/>
                <w:spacing w:val="27"/>
                <w:sz w:val="16"/>
              </w:rPr>
              <w:t> </w:t>
            </w:r>
            <w:r>
              <w:rPr>
                <w:color w:val="1B377C"/>
                <w:sz w:val="16"/>
              </w:rPr>
              <w:t>cíli </w:t>
            </w: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kritérii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hodnocení,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žáci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jsou</w:t>
            </w:r>
            <w:r>
              <w:rPr>
                <w:color w:val="1B377C"/>
                <w:spacing w:val="-7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motivováni</w:t>
            </w:r>
          </w:p>
          <w:p>
            <w:pPr>
              <w:pStyle w:val="TableParagraph"/>
              <w:spacing w:line="261" w:lineRule="auto"/>
              <w:ind w:left="282"/>
              <w:rPr>
                <w:sz w:val="16"/>
              </w:rPr>
            </w:pPr>
            <w:r>
              <w:rPr>
                <w:color w:val="1B377C"/>
                <w:sz w:val="16"/>
              </w:rPr>
              <w:t>k dalšímu učení a aktivně se ho účastní – beze </w:t>
            </w:r>
            <w:r>
              <w:rPr>
                <w:color w:val="1B377C"/>
                <w:w w:val="110"/>
                <w:sz w:val="16"/>
              </w:rPr>
              <w:t>změn v přístupu k hodnocení</w:t>
            </w:r>
          </w:p>
        </w:tc>
      </w:tr>
      <w:tr>
        <w:trPr>
          <w:trHeight w:val="98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before="88"/>
              <w:ind w:left="84"/>
              <w:rPr>
                <w:sz w:val="16"/>
              </w:rPr>
            </w:pPr>
            <w:r>
              <w:rPr>
                <w:color w:val="1B377C"/>
                <w:sz w:val="16"/>
              </w:rPr>
              <w:t>—</w:t>
            </w:r>
            <w:r>
              <w:rPr>
                <w:color w:val="1B377C"/>
                <w:spacing w:val="9"/>
                <w:sz w:val="16"/>
              </w:rPr>
              <w:t> </w:t>
            </w:r>
            <w:r>
              <w:rPr>
                <w:color w:val="1B377C"/>
                <w:sz w:val="16"/>
              </w:rPr>
              <w:t>učitelé</w:t>
            </w:r>
            <w:r>
              <w:rPr>
                <w:color w:val="1B377C"/>
                <w:spacing w:val="17"/>
                <w:sz w:val="16"/>
              </w:rPr>
              <w:t> </w:t>
            </w:r>
            <w:r>
              <w:rPr>
                <w:color w:val="1B377C"/>
                <w:sz w:val="16"/>
              </w:rPr>
              <w:t>se</w:t>
            </w:r>
            <w:r>
              <w:rPr>
                <w:color w:val="1B377C"/>
                <w:spacing w:val="17"/>
                <w:sz w:val="16"/>
              </w:rPr>
              <w:t> </w:t>
            </w:r>
            <w:r>
              <w:rPr>
                <w:color w:val="1B377C"/>
                <w:sz w:val="16"/>
              </w:rPr>
              <w:t>teprve</w:t>
            </w:r>
            <w:r>
              <w:rPr>
                <w:color w:val="1B377C"/>
                <w:spacing w:val="17"/>
                <w:sz w:val="16"/>
              </w:rPr>
              <w:t> </w:t>
            </w:r>
            <w:r>
              <w:rPr>
                <w:color w:val="1B377C"/>
                <w:sz w:val="16"/>
              </w:rPr>
              <w:t>učí</w:t>
            </w:r>
            <w:r>
              <w:rPr>
                <w:color w:val="1B377C"/>
                <w:spacing w:val="17"/>
                <w:sz w:val="16"/>
              </w:rPr>
              <w:t> </w:t>
            </w:r>
            <w:r>
              <w:rPr>
                <w:color w:val="1B377C"/>
                <w:sz w:val="16"/>
              </w:rPr>
              <w:t>využívat</w:t>
            </w:r>
            <w:r>
              <w:rPr>
                <w:color w:val="1B377C"/>
                <w:spacing w:val="17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formativní</w:t>
            </w:r>
          </w:p>
          <w:p>
            <w:pPr>
              <w:pStyle w:val="TableParagraph"/>
              <w:spacing w:before="17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a</w:t>
            </w:r>
            <w:r>
              <w:rPr>
                <w:color w:val="1B377C"/>
                <w:spacing w:val="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kriteriální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hodnocení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nebo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7"/>
                <w:w w:val="105"/>
                <w:sz w:val="16"/>
              </w:rPr>
              <w:t> </w:t>
            </w:r>
            <w:r>
              <w:rPr>
                <w:color w:val="1B377C"/>
                <w:spacing w:val="-2"/>
                <w:w w:val="105"/>
                <w:sz w:val="16"/>
              </w:rPr>
              <w:t>nevyužívají</w:t>
            </w:r>
          </w:p>
          <w:p>
            <w:pPr>
              <w:pStyle w:val="TableParagraph"/>
              <w:spacing w:line="261" w:lineRule="auto" w:before="17"/>
              <w:ind w:left="282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v dostatečné míře – průběžné projednávání, příklady,</w:t>
            </w:r>
            <w:r>
              <w:rPr>
                <w:color w:val="1B377C"/>
                <w:spacing w:val="-7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povzbuzení</w:t>
            </w:r>
          </w:p>
        </w:tc>
      </w:tr>
      <w:tr>
        <w:trPr>
          <w:trHeight w:val="119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8"/>
              <w:ind w:left="282" w:right="326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uplatňují formativní a kriteriální hodnocení jen někdy nebo vůbec, zpochybňují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–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projednávání,</w:t>
            </w:r>
            <w:r>
              <w:rPr>
                <w:color w:val="1B377C"/>
                <w:spacing w:val="-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příklady, náslechy u učitelů, kteří formativní</w:t>
            </w:r>
          </w:p>
          <w:p>
            <w:pPr>
              <w:pStyle w:val="TableParagraph"/>
              <w:spacing w:line="191" w:lineRule="exact"/>
              <w:ind w:left="282"/>
              <w:rPr>
                <w:sz w:val="16"/>
              </w:rPr>
            </w:pPr>
            <w:r>
              <w:rPr>
                <w:color w:val="1B377C"/>
                <w:w w:val="110"/>
                <w:sz w:val="16"/>
              </w:rPr>
              <w:t>a</w:t>
            </w:r>
            <w:r>
              <w:rPr>
                <w:color w:val="1B377C"/>
                <w:spacing w:val="-14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kriteriální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hodnocení</w:t>
            </w:r>
            <w:r>
              <w:rPr>
                <w:color w:val="1B377C"/>
                <w:spacing w:val="-13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zvládají</w:t>
            </w:r>
          </w:p>
        </w:tc>
      </w:tr>
    </w:tbl>
    <w:p>
      <w:pPr>
        <w:spacing w:after="0" w:line="191" w:lineRule="exact"/>
        <w:rPr>
          <w:sz w:val="16"/>
        </w:rPr>
        <w:sectPr>
          <w:type w:val="continuous"/>
          <w:pgSz w:w="11910" w:h="16840"/>
          <w:pgMar w:header="0" w:footer="579" w:top="1380" w:bottom="760" w:left="1140" w:right="60"/>
        </w:sectPr>
      </w:pPr>
    </w:p>
    <w:tbl>
      <w:tblPr>
        <w:tblW w:w="0" w:type="auto"/>
        <w:jc w:val="left"/>
        <w:tblInd w:w="1820" w:type="dxa"/>
        <w:tblBorders>
          <w:top w:val="single" w:sz="4" w:space="0" w:color="9AB3FD"/>
          <w:left w:val="single" w:sz="4" w:space="0" w:color="9AB3FD"/>
          <w:bottom w:val="single" w:sz="4" w:space="0" w:color="9AB3FD"/>
          <w:right w:val="single" w:sz="4" w:space="0" w:color="9AB3FD"/>
          <w:insideH w:val="single" w:sz="4" w:space="0" w:color="9AB3FD"/>
          <w:insideV w:val="single" w:sz="4" w:space="0" w:color="9AB3F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3855"/>
      </w:tblGrid>
      <w:tr>
        <w:trPr>
          <w:trHeight w:val="989" w:hRule="atLeast"/>
        </w:trPr>
        <w:tc>
          <w:tcPr>
            <w:tcW w:w="3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7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5" w:right="326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Je propojováno formální a neformální </w:t>
            </w:r>
            <w:r>
              <w:rPr>
                <w:color w:val="1B377C"/>
                <w:spacing w:val="-2"/>
                <w:w w:val="105"/>
                <w:sz w:val="16"/>
              </w:rPr>
              <w:t>vzdělávání.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1"/>
              <w:ind w:left="283" w:right="498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vnímají neformální vzdělávání</w:t>
            </w:r>
            <w:r>
              <w:rPr>
                <w:color w:val="1B377C"/>
                <w:spacing w:val="4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jako významnou součást vzdělávání žáků a výsledky žáků získané mimo školu zohledňují – projednávání, bez úprav</w:t>
            </w:r>
          </w:p>
        </w:tc>
      </w:tr>
      <w:tr>
        <w:trPr>
          <w:trHeight w:val="161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right="268" w:hanging="199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 učitelé vnímají neformální vzdělávání jako potřebné, ale ne vždy výsledky žáků získané mimo školu zohledňují – projednávání, zvýraznění významu neformálního vzdělávání, ukázky propojování formálního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a neformálního vzdělávání při hodnocení </w:t>
            </w:r>
            <w:r>
              <w:rPr>
                <w:color w:val="1B377C"/>
                <w:spacing w:val="-4"/>
                <w:w w:val="105"/>
                <w:sz w:val="16"/>
              </w:rPr>
              <w:t>žáků</w:t>
            </w:r>
          </w:p>
        </w:tc>
      </w:tr>
      <w:tr>
        <w:trPr>
          <w:trHeight w:val="1409" w:hRule="atLeast"/>
        </w:trPr>
        <w:tc>
          <w:tcPr>
            <w:tcW w:w="3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90"/>
              <w:ind w:left="283" w:hanging="199"/>
              <w:rPr>
                <w:sz w:val="16"/>
              </w:rPr>
            </w:pPr>
            <w:r>
              <w:rPr>
                <w:color w:val="1B377C"/>
                <w:sz w:val="16"/>
              </w:rPr>
              <w:t>— učitelé většinou nerespektují a nezohledňují</w:t>
            </w:r>
            <w:r>
              <w:rPr>
                <w:color w:val="1B377C"/>
                <w:spacing w:val="40"/>
                <w:w w:val="110"/>
                <w:sz w:val="16"/>
              </w:rPr>
              <w:t> </w:t>
            </w:r>
            <w:r>
              <w:rPr>
                <w:color w:val="1B377C"/>
                <w:w w:val="110"/>
                <w:sz w:val="16"/>
              </w:rPr>
              <w:t>výsledky neformálního vzdělávání žáků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– projednávání, zvýraznění významu neformálního vzdělávání, ukázky propojování formálního a neformálního vzdělávání při hodnocení žáků, systémová opatření</w:t>
            </w:r>
          </w:p>
        </w:tc>
      </w:tr>
      <w:tr>
        <w:trPr>
          <w:trHeight w:val="1199" w:hRule="atLeast"/>
        </w:trPr>
        <w:tc>
          <w:tcPr>
            <w:tcW w:w="385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65"/>
              <w:rPr>
                <w:sz w:val="16"/>
              </w:rPr>
            </w:pPr>
          </w:p>
          <w:p>
            <w:pPr>
              <w:pStyle w:val="TableParagraph"/>
              <w:spacing w:line="261" w:lineRule="auto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Organizace výuky a života ve škole a materiální podmínky podporují zdravý životní styl žáků</w:t>
            </w:r>
          </w:p>
          <w:p>
            <w:pPr>
              <w:pStyle w:val="TableParagraph"/>
              <w:spacing w:line="192" w:lineRule="exact"/>
              <w:ind w:left="84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i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učitelů,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jejich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bezpečnost, hygienu</w:t>
            </w:r>
            <w:r>
              <w:rPr>
                <w:color w:val="1B377C"/>
                <w:spacing w:val="-1"/>
                <w:w w:val="105"/>
                <w:sz w:val="16"/>
              </w:rPr>
              <w:t> </w:t>
            </w:r>
            <w:r>
              <w:rPr>
                <w:color w:val="1B377C"/>
                <w:spacing w:val="-4"/>
                <w:w w:val="105"/>
                <w:sz w:val="16"/>
              </w:rPr>
              <w:t>atd.</w:t>
            </w: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439" w:hanging="199"/>
              <w:rPr>
                <w:sz w:val="16"/>
              </w:rPr>
            </w:pPr>
            <w:r>
              <w:rPr>
                <w:color w:val="1B377C"/>
                <w:spacing w:val="-2"/>
                <w:w w:val="110"/>
                <w:sz w:val="16"/>
              </w:rPr>
              <w:t>—</w:t>
            </w:r>
            <w:r>
              <w:rPr>
                <w:color w:val="1B377C"/>
                <w:spacing w:val="-15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organizace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výuky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a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denního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režimu</w:t>
            </w:r>
            <w:r>
              <w:rPr>
                <w:color w:val="1B377C"/>
                <w:spacing w:val="-10"/>
                <w:w w:val="110"/>
                <w:sz w:val="16"/>
              </w:rPr>
              <w:t> </w:t>
            </w:r>
            <w:r>
              <w:rPr>
                <w:color w:val="1B377C"/>
                <w:spacing w:val="-2"/>
                <w:w w:val="110"/>
                <w:sz w:val="16"/>
              </w:rPr>
              <w:t>školy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prostorové,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materiální</w:t>
            </w:r>
            <w:r>
              <w:rPr>
                <w:color w:val="1B377C"/>
                <w:spacing w:val="22"/>
                <w:sz w:val="16"/>
              </w:rPr>
              <w:t> </w:t>
            </w:r>
            <w:r>
              <w:rPr>
                <w:color w:val="1B377C"/>
                <w:sz w:val="16"/>
              </w:rPr>
              <w:t>a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z w:val="16"/>
              </w:rPr>
              <w:t>jiné</w:t>
            </w:r>
            <w:r>
              <w:rPr>
                <w:color w:val="1B377C"/>
                <w:spacing w:val="21"/>
                <w:sz w:val="16"/>
              </w:rPr>
              <w:t> </w:t>
            </w:r>
            <w:r>
              <w:rPr>
                <w:color w:val="1B377C"/>
                <w:spacing w:val="-2"/>
                <w:sz w:val="16"/>
              </w:rPr>
              <w:t>podmínky</w:t>
            </w:r>
          </w:p>
          <w:p>
            <w:pPr>
              <w:pStyle w:val="TableParagraph"/>
              <w:spacing w:line="261" w:lineRule="auto"/>
              <w:ind w:left="283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podporují rozvoj všestranné pohody, bezpečí, vhodných vztahů, hygieny atd. – sledování funkčnosti, nových potřeb, bez úprav</w:t>
            </w:r>
          </w:p>
        </w:tc>
      </w:tr>
      <w:tr>
        <w:trPr>
          <w:trHeight w:val="2039" w:hRule="atLeast"/>
        </w:trPr>
        <w:tc>
          <w:tcPr>
            <w:tcW w:w="385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>
            <w:pPr>
              <w:pStyle w:val="TableParagraph"/>
              <w:spacing w:line="261" w:lineRule="auto" w:before="89"/>
              <w:ind w:left="283" w:right="458" w:hanging="199"/>
              <w:jc w:val="both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—</w:t>
            </w:r>
            <w:r>
              <w:rPr>
                <w:color w:val="1B377C"/>
                <w:spacing w:val="-2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organizace výuky a denního režimu školy a prostorové, materiální a jiné podmínky jsou koncipovány tak, aby podporovaly</w:t>
            </w:r>
          </w:p>
          <w:p>
            <w:pPr>
              <w:pStyle w:val="TableParagraph"/>
              <w:spacing w:line="261" w:lineRule="auto"/>
              <w:ind w:left="283" w:right="117"/>
              <w:rPr>
                <w:sz w:val="16"/>
              </w:rPr>
            </w:pPr>
            <w:r>
              <w:rPr>
                <w:color w:val="1B377C"/>
                <w:w w:val="105"/>
                <w:sz w:val="16"/>
              </w:rPr>
              <w:t>rozvoj všestranné pohody, bezpečí, vhodných vztahů, hygieny atd., ale vyskytují se</w:t>
            </w:r>
            <w:r>
              <w:rPr>
                <w:color w:val="1B377C"/>
                <w:spacing w:val="80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problémy – sledování funkčnosti, návrh řešení problémů, sběr nových námětů a návrhů na zlepšení,</w:t>
            </w:r>
            <w:r>
              <w:rPr>
                <w:color w:val="1B377C"/>
                <w:spacing w:val="2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potřebné</w:t>
            </w:r>
            <w:r>
              <w:rPr>
                <w:color w:val="1B377C"/>
                <w:spacing w:val="2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úpravy</w:t>
            </w:r>
            <w:r>
              <w:rPr>
                <w:color w:val="1B377C"/>
                <w:spacing w:val="2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organizace</w:t>
            </w:r>
            <w:r>
              <w:rPr>
                <w:color w:val="1B377C"/>
                <w:spacing w:val="23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režimu a podmínek života školy</w:t>
            </w:r>
          </w:p>
        </w:tc>
      </w:tr>
      <w:tr>
        <w:trPr>
          <w:trHeight w:val="569" w:hRule="atLeast"/>
        </w:trPr>
        <w:tc>
          <w:tcPr>
            <w:tcW w:w="7710" w:type="dxa"/>
            <w:gridSpan w:val="2"/>
          </w:tcPr>
          <w:p>
            <w:pPr>
              <w:pStyle w:val="TableParagraph"/>
              <w:spacing w:before="72"/>
              <w:ind w:left="84"/>
              <w:rPr>
                <w:sz w:val="16"/>
              </w:rPr>
            </w:pPr>
            <w:r>
              <w:rPr>
                <w:rFonts w:ascii="Arial Black" w:hAnsi="Arial Black"/>
                <w:color w:val="1B377C"/>
                <w:w w:val="105"/>
                <w:sz w:val="16"/>
              </w:rPr>
              <w:t>Kdo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rFonts w:ascii="Arial Black" w:hAnsi="Arial Black"/>
                <w:color w:val="1B377C"/>
                <w:w w:val="105"/>
                <w:sz w:val="16"/>
              </w:rPr>
              <w:t>hodnotí:</w:t>
            </w:r>
            <w:r>
              <w:rPr>
                <w:rFonts w:ascii="Arial Black" w:hAnsi="Arial Black"/>
                <w:color w:val="1B377C"/>
                <w:spacing w:val="-11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Všichni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učitelé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spolupráci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s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vedením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školy,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zákonnými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partnery,</w:t>
            </w:r>
            <w:r>
              <w:rPr>
                <w:color w:val="1B377C"/>
                <w:spacing w:val="-6"/>
                <w:w w:val="105"/>
                <w:sz w:val="16"/>
              </w:rPr>
              <w:t> </w:t>
            </w:r>
            <w:r>
              <w:rPr>
                <w:color w:val="1B377C"/>
                <w:w w:val="105"/>
                <w:sz w:val="16"/>
              </w:rPr>
              <w:t>zástupci </w:t>
            </w:r>
            <w:r>
              <w:rPr>
                <w:color w:val="1B377C"/>
                <w:spacing w:val="-2"/>
                <w:w w:val="105"/>
                <w:sz w:val="16"/>
              </w:rPr>
              <w:t>zřizovatele.</w:t>
            </w:r>
          </w:p>
        </w:tc>
      </w:tr>
    </w:tbl>
    <w:p>
      <w:pPr>
        <w:pStyle w:val="BodyText"/>
        <w:spacing w:before="213"/>
      </w:pPr>
    </w:p>
    <w:p>
      <w:pPr>
        <w:pStyle w:val="BodyText"/>
        <w:ind w:left="1808"/>
      </w:pPr>
      <w:r>
        <w:rPr>
          <w:color w:val="1B377C"/>
        </w:rPr>
        <w:t>Při</w:t>
      </w:r>
      <w:r>
        <w:rPr>
          <w:color w:val="1B377C"/>
          <w:spacing w:val="-6"/>
        </w:rPr>
        <w:t> </w:t>
      </w:r>
      <w:r>
        <w:rPr>
          <w:color w:val="1B377C"/>
        </w:rPr>
        <w:t>hodnocení</w:t>
      </w:r>
      <w:r>
        <w:rPr>
          <w:color w:val="1B377C"/>
          <w:spacing w:val="-6"/>
        </w:rPr>
        <w:t> </w:t>
      </w:r>
      <w:r>
        <w:rPr>
          <w:color w:val="1B377C"/>
        </w:rPr>
        <w:t>ŠVP</w:t>
      </w:r>
      <w:r>
        <w:rPr>
          <w:color w:val="1B377C"/>
          <w:spacing w:val="-6"/>
        </w:rPr>
        <w:t> </w:t>
      </w:r>
      <w:r>
        <w:rPr>
          <w:color w:val="1B377C"/>
        </w:rPr>
        <w:t>využíváme</w:t>
      </w:r>
      <w:r>
        <w:rPr>
          <w:color w:val="1B377C"/>
          <w:spacing w:val="-6"/>
        </w:rPr>
        <w:t> </w:t>
      </w:r>
      <w:r>
        <w:rPr>
          <w:color w:val="1B377C"/>
        </w:rPr>
        <w:t>tyto</w:t>
      </w:r>
      <w:r>
        <w:rPr>
          <w:color w:val="1B377C"/>
          <w:spacing w:val="-6"/>
        </w:rPr>
        <w:t> </w:t>
      </w:r>
      <w:r>
        <w:rPr>
          <w:rFonts w:ascii="Arial Black" w:hAnsi="Arial Black"/>
          <w:color w:val="1B377C"/>
        </w:rPr>
        <w:t>nástroje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</w:rPr>
        <w:t>pro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</w:rPr>
        <w:t>sběr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</w:rPr>
        <w:t>dat</w:t>
      </w:r>
      <w:r>
        <w:rPr>
          <w:rFonts w:ascii="Arial Black" w:hAnsi="Arial Black"/>
          <w:color w:val="1B377C"/>
          <w:spacing w:val="-9"/>
        </w:rPr>
        <w:t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2"/>
        </w:rPr>
        <w:t>informací</w:t>
      </w:r>
      <w:r>
        <w:rPr>
          <w:color w:val="1B377C"/>
          <w:spacing w:val="-2"/>
        </w:rPr>
        <w:t>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145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pozorování,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hospitace,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vzájemné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hospitace,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rozhovory,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diskuse,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porady,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konzultace,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dotazníky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pro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učitele,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žáky,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zákonné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zástupce,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partnery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–</w:t>
      </w:r>
      <w:r>
        <w:rPr>
          <w:color w:val="1B377C"/>
          <w:spacing w:val="-2"/>
          <w:w w:val="105"/>
          <w:sz w:val="18"/>
        </w:rPr>
        <w:t> ankety,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záznamové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listy, ústní a písemná zpětná </w:t>
      </w:r>
      <w:r>
        <w:rPr>
          <w:color w:val="1B377C"/>
          <w:spacing w:val="-2"/>
          <w:w w:val="105"/>
          <w:sz w:val="18"/>
        </w:rPr>
        <w:t>vazba,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spacing w:val="2"/>
          <w:sz w:val="18"/>
        </w:rPr>
        <w:t>studium</w:t>
      </w:r>
      <w:r>
        <w:rPr>
          <w:color w:val="1B377C"/>
          <w:spacing w:val="31"/>
          <w:sz w:val="18"/>
        </w:rPr>
        <w:t> </w:t>
      </w:r>
      <w:r>
        <w:rPr>
          <w:color w:val="1B377C"/>
          <w:spacing w:val="2"/>
          <w:sz w:val="18"/>
        </w:rPr>
        <w:t>školských</w:t>
      </w:r>
      <w:r>
        <w:rPr>
          <w:color w:val="1B377C"/>
          <w:spacing w:val="32"/>
          <w:sz w:val="18"/>
        </w:rPr>
        <w:t> </w:t>
      </w:r>
      <w:r>
        <w:rPr>
          <w:color w:val="1B377C"/>
          <w:spacing w:val="2"/>
          <w:sz w:val="18"/>
        </w:rPr>
        <w:t>dokumentů,</w:t>
      </w:r>
      <w:r>
        <w:rPr>
          <w:color w:val="1B377C"/>
          <w:spacing w:val="32"/>
          <w:sz w:val="18"/>
        </w:rPr>
        <w:t> </w:t>
      </w:r>
      <w:r>
        <w:rPr>
          <w:color w:val="1B377C"/>
          <w:spacing w:val="2"/>
          <w:sz w:val="18"/>
        </w:rPr>
        <w:t>článků,</w:t>
      </w:r>
      <w:r>
        <w:rPr>
          <w:color w:val="1B377C"/>
          <w:spacing w:val="32"/>
          <w:sz w:val="18"/>
        </w:rPr>
        <w:t> </w:t>
      </w:r>
      <w:r>
        <w:rPr>
          <w:color w:val="1B377C"/>
          <w:spacing w:val="-2"/>
          <w:sz w:val="18"/>
        </w:rPr>
        <w:t>polemik,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analýzy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dokumentů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školy,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záznamů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učitelů,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portfolií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prací</w:t>
      </w:r>
      <w:r>
        <w:rPr>
          <w:color w:val="1B377C"/>
          <w:spacing w:val="35"/>
          <w:sz w:val="18"/>
        </w:rPr>
        <w:t> </w:t>
      </w:r>
      <w:r>
        <w:rPr>
          <w:color w:val="1B377C"/>
          <w:spacing w:val="-2"/>
          <w:sz w:val="18"/>
        </w:rPr>
        <w:t>žáků;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pacing w:val="2"/>
          <w:sz w:val="18"/>
        </w:rPr>
        <w:t>sledování</w:t>
      </w:r>
      <w:r>
        <w:rPr>
          <w:color w:val="1B377C"/>
          <w:spacing w:val="31"/>
          <w:sz w:val="18"/>
        </w:rPr>
        <w:t> </w:t>
      </w:r>
      <w:r>
        <w:rPr>
          <w:color w:val="1B377C"/>
          <w:spacing w:val="2"/>
          <w:sz w:val="18"/>
        </w:rPr>
        <w:t>praxe</w:t>
      </w:r>
      <w:r>
        <w:rPr>
          <w:color w:val="1B377C"/>
          <w:spacing w:val="31"/>
          <w:sz w:val="18"/>
        </w:rPr>
        <w:t> </w:t>
      </w:r>
      <w:r>
        <w:rPr>
          <w:color w:val="1B377C"/>
          <w:spacing w:val="2"/>
          <w:sz w:val="18"/>
        </w:rPr>
        <w:t>partnerských</w:t>
      </w:r>
      <w:r>
        <w:rPr>
          <w:color w:val="1B377C"/>
          <w:spacing w:val="32"/>
          <w:sz w:val="18"/>
        </w:rPr>
        <w:t> </w:t>
      </w:r>
      <w:r>
        <w:rPr>
          <w:color w:val="1B377C"/>
          <w:spacing w:val="-2"/>
          <w:sz w:val="18"/>
        </w:rPr>
        <w:t>škol.</w:t>
      </w:r>
    </w:p>
    <w:p>
      <w:pPr>
        <w:pStyle w:val="BodyText"/>
        <w:spacing w:before="167"/>
      </w:pPr>
    </w:p>
    <w:p>
      <w:pPr>
        <w:pStyle w:val="BodyText"/>
        <w:ind w:left="1808"/>
      </w:pPr>
      <w:r>
        <w:rPr>
          <w:color w:val="1B377C"/>
          <w:spacing w:val="-2"/>
        </w:rPr>
        <w:t>Pro</w:t>
      </w:r>
      <w:r>
        <w:rPr>
          <w:color w:val="1B377C"/>
          <w:spacing w:val="-9"/>
        </w:rPr>
        <w:t> </w:t>
      </w:r>
      <w:r>
        <w:rPr>
          <w:rFonts w:ascii="Arial Black" w:hAnsi="Arial Black"/>
          <w:color w:val="1B377C"/>
          <w:spacing w:val="-2"/>
        </w:rPr>
        <w:t>vyhodnocení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2"/>
        </w:rPr>
        <w:t>dat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2"/>
        </w:rPr>
        <w:t>informací</w:t>
      </w:r>
      <w:r>
        <w:rPr>
          <w:rFonts w:ascii="Arial Black" w:hAnsi="Arial Black"/>
          <w:color w:val="1B377C"/>
          <w:spacing w:val="-13"/>
        </w:rPr>
        <w:t> </w:t>
      </w:r>
      <w:r>
        <w:rPr>
          <w:color w:val="1B377C"/>
          <w:spacing w:val="-2"/>
        </w:rPr>
        <w:t>používáme</w:t>
      </w:r>
      <w:r>
        <w:rPr>
          <w:color w:val="1B377C"/>
          <w:spacing w:val="-8"/>
        </w:rPr>
        <w:t> </w:t>
      </w:r>
      <w:r>
        <w:rPr>
          <w:color w:val="1B377C"/>
          <w:spacing w:val="-2"/>
        </w:rPr>
        <w:t>tyto</w:t>
      </w:r>
      <w:r>
        <w:rPr>
          <w:color w:val="1B377C"/>
          <w:spacing w:val="-9"/>
        </w:rPr>
        <w:t> </w:t>
      </w:r>
      <w:r>
        <w:rPr>
          <w:color w:val="1B377C"/>
          <w:spacing w:val="-2"/>
        </w:rPr>
        <w:t>nástroje: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144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analýzy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získaných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dat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informací,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porady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pedagogického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sboru</w:t>
      </w:r>
      <w:r>
        <w:rPr>
          <w:color w:val="1B377C"/>
          <w:spacing w:val="38"/>
          <w:sz w:val="18"/>
        </w:rPr>
        <w:t> </w:t>
      </w:r>
      <w:r>
        <w:rPr>
          <w:color w:val="1B377C"/>
          <w:sz w:val="18"/>
        </w:rPr>
        <w:t>ke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konkrétním</w:t>
      </w:r>
      <w:r>
        <w:rPr>
          <w:color w:val="1B377C"/>
          <w:spacing w:val="38"/>
          <w:sz w:val="18"/>
        </w:rPr>
        <w:t> </w:t>
      </w:r>
      <w:r>
        <w:rPr>
          <w:color w:val="1B377C"/>
          <w:sz w:val="18"/>
        </w:rPr>
        <w:t>problémům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z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analýz</w:t>
      </w:r>
      <w:r>
        <w:rPr>
          <w:color w:val="1B377C"/>
          <w:spacing w:val="38"/>
          <w:sz w:val="18"/>
        </w:rPr>
        <w:t> </w:t>
      </w:r>
      <w:r>
        <w:rPr>
          <w:color w:val="1B377C"/>
          <w:sz w:val="18"/>
        </w:rPr>
        <w:t>dat</w:t>
      </w:r>
      <w:r>
        <w:rPr>
          <w:color w:val="1B377C"/>
          <w:spacing w:val="37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8"/>
          <w:sz w:val="18"/>
        </w:rPr>
        <w:t> </w:t>
      </w:r>
      <w:r>
        <w:rPr>
          <w:color w:val="1B377C"/>
          <w:spacing w:val="-2"/>
          <w:sz w:val="18"/>
        </w:rPr>
        <w:t>informací,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SWOT</w:t>
      </w:r>
      <w:r>
        <w:rPr>
          <w:color w:val="1B377C"/>
          <w:spacing w:val="-4"/>
          <w:sz w:val="18"/>
        </w:rPr>
        <w:t> </w:t>
      </w:r>
      <w:r>
        <w:rPr>
          <w:color w:val="1B377C"/>
          <w:spacing w:val="-2"/>
          <w:sz w:val="18"/>
        </w:rPr>
        <w:t>analýzy,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cílené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porady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diskuse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zástupci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zákonných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zástupců,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partnerů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školy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zřizovatele.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579" w:top="1380" w:bottom="760" w:left="1140" w:right="60"/>
        </w:sectPr>
      </w:pPr>
    </w:p>
    <w:p>
      <w:pPr>
        <w:spacing w:before="72"/>
        <w:ind w:left="1808" w:right="0" w:firstLine="0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3566FC"/>
          <w:spacing w:val="2"/>
          <w:sz w:val="24"/>
        </w:rPr>
        <w:t>Předmětový</w:t>
      </w:r>
      <w:r>
        <w:rPr>
          <w:rFonts w:ascii="Palatino Linotype" w:hAnsi="Palatino Linotype"/>
          <w:color w:val="3566FC"/>
          <w:spacing w:val="52"/>
          <w:sz w:val="24"/>
        </w:rPr>
        <w:t> </w:t>
      </w:r>
      <w:r>
        <w:rPr>
          <w:rFonts w:ascii="Palatino Linotype" w:hAnsi="Palatino Linotype"/>
          <w:color w:val="3566FC"/>
          <w:spacing w:val="2"/>
          <w:sz w:val="24"/>
        </w:rPr>
        <w:t>modelový</w:t>
      </w:r>
      <w:r>
        <w:rPr>
          <w:rFonts w:ascii="Palatino Linotype" w:hAnsi="Palatino Linotype"/>
          <w:color w:val="3566FC"/>
          <w:spacing w:val="51"/>
          <w:sz w:val="24"/>
        </w:rPr>
        <w:t> </w:t>
      </w:r>
      <w:r>
        <w:rPr>
          <w:rFonts w:ascii="Palatino Linotype" w:hAnsi="Palatino Linotype"/>
          <w:color w:val="3566FC"/>
          <w:spacing w:val="2"/>
          <w:sz w:val="24"/>
        </w:rPr>
        <w:t>ŠVP</w:t>
      </w:r>
      <w:r>
        <w:rPr>
          <w:rFonts w:ascii="Palatino Linotype" w:hAnsi="Palatino Linotype"/>
          <w:color w:val="3566FC"/>
          <w:spacing w:val="53"/>
          <w:sz w:val="24"/>
        </w:rPr>
        <w:t> </w:t>
      </w:r>
      <w:r>
        <w:rPr>
          <w:rFonts w:ascii="Palatino Linotype" w:hAnsi="Palatino Linotype"/>
          <w:color w:val="3566FC"/>
          <w:spacing w:val="2"/>
          <w:sz w:val="24"/>
        </w:rPr>
        <w:t>/</w:t>
      </w:r>
      <w:r>
        <w:rPr>
          <w:rFonts w:ascii="Palatino Linotype" w:hAnsi="Palatino Linotype"/>
          <w:color w:val="3566FC"/>
          <w:spacing w:val="53"/>
          <w:sz w:val="24"/>
        </w:rPr>
        <w:t> </w:t>
      </w:r>
      <w:r>
        <w:rPr>
          <w:rFonts w:ascii="Palatino Linotype" w:hAnsi="Palatino Linotype"/>
          <w:color w:val="3566FC"/>
          <w:spacing w:val="2"/>
          <w:sz w:val="24"/>
        </w:rPr>
        <w:t>Hodnocení</w:t>
      </w:r>
      <w:r>
        <w:rPr>
          <w:rFonts w:ascii="Palatino Linotype" w:hAnsi="Palatino Linotype"/>
          <w:color w:val="3566FC"/>
          <w:spacing w:val="53"/>
          <w:sz w:val="24"/>
        </w:rPr>
        <w:t> </w:t>
      </w:r>
      <w:r>
        <w:rPr>
          <w:rFonts w:ascii="Palatino Linotype" w:hAnsi="Palatino Linotype"/>
          <w:color w:val="3566FC"/>
          <w:spacing w:val="-5"/>
          <w:sz w:val="24"/>
        </w:rPr>
        <w:t>ŠVP</w:t>
      </w:r>
    </w:p>
    <w:p>
      <w:pPr>
        <w:pStyle w:val="BodyText"/>
        <w:spacing w:line="420" w:lineRule="auto" w:before="143"/>
        <w:ind w:left="1808" w:right="396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5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63"/>
      </w:pPr>
    </w:p>
    <w:p>
      <w:pPr>
        <w:pStyle w:val="BodyText"/>
        <w:spacing w:line="264" w:lineRule="auto"/>
        <w:ind w:left="1808" w:right="441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4868996</wp:posOffset>
            </wp:positionH>
            <wp:positionV relativeFrom="paragraph">
              <wp:posOffset>3628</wp:posOffset>
            </wp:positionV>
            <wp:extent cx="720051" cy="251993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23"/>
      </w:pPr>
    </w:p>
    <w:p>
      <w:pPr>
        <w:pStyle w:val="BodyText"/>
        <w:spacing w:line="343" w:lineRule="auto"/>
        <w:ind w:left="1808" w:right="1455"/>
      </w:pPr>
      <w:r>
        <w:rPr>
          <w:color w:val="1B377C"/>
          <w:w w:val="105"/>
        </w:rPr>
        <w:t>Autorem materiálu a všech jeho částí, není-li uvedeno jinak, je kolektiv autorů NPI ČR. Licenční podmínky navštivte na adrese:</w:t>
      </w:r>
    </w:p>
    <w:p>
      <w:pPr>
        <w:pStyle w:val="BodyText"/>
        <w:spacing w:line="216" w:lineRule="exact"/>
        <w:ind w:left="1808"/>
      </w:pPr>
      <w:r>
        <w:rPr>
          <w:color w:val="1B377C"/>
          <w:w w:val="105"/>
          <w:u w:val="single" w:color="1B377C"/>
        </w:rPr>
        <w:t>https://creativecommons.org/licenses/by-</w:t>
      </w:r>
      <w:r>
        <w:rPr>
          <w:color w:val="1B377C"/>
          <w:spacing w:val="-2"/>
          <w:w w:val="105"/>
          <w:u w:val="single" w:color="1B377C"/>
        </w:rPr>
        <w:t>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16" w:lineRule="exact"/>
        <w:sectPr>
          <w:pgSz w:w="11910" w:h="16840"/>
          <w:pgMar w:header="0" w:footer="579" w:top="1260" w:bottom="760" w:left="114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3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6048128" id="docshape18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19" coordorigin="0,0" coordsize="567,567">
                <v:rect style="position:absolute;left:0;top:0;width:567;height:567" id="docshape20" filled="true" fillcolor="#ffffff" stroked="false">
                  <v:fill type="solid"/>
                </v:rect>
                <v:shape style="position:absolute;left:130;top:200;width:306;height:202" type="#_x0000_t75" id="docshape21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2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24"/>
        <w:jc w:val="center"/>
        <w:rPr>
          <w:rFonts w:ascii="Arial Black"/>
        </w:rPr>
      </w:pPr>
      <w:hyperlink r:id="rId14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2"/>
      <w:pgSz w:w="11910" w:h="16840"/>
      <w:pgMar w:header="0" w:footer="0" w:top="1920" w:bottom="280" w:left="1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2720">
              <wp:simplePos x="0" y="0"/>
              <wp:positionH relativeFrom="page">
                <wp:posOffset>779297</wp:posOffset>
              </wp:positionH>
              <wp:positionV relativeFrom="page">
                <wp:posOffset>10184390</wp:posOffset>
              </wp:positionV>
              <wp:extent cx="2115820" cy="15557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11582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Předmětový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pacing w:val="-2"/>
                              <w:sz w:val="15"/>
                            </w:rPr>
                            <w:t>Hodnocení</w:t>
                          </w:r>
                          <w:r>
                            <w:rPr>
                              <w:color w:val="4975FC"/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color w:val="4975FC"/>
                              <w:spacing w:val="-5"/>
                              <w:sz w:val="15"/>
                            </w:rPr>
                            <w:t>ŠVP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pt;margin-top:801.920532pt;width:166.6pt;height:12.25pt;mso-position-horizontal-relative:page;mso-position-vertical-relative:page;z-index:-16053760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Předmětový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pacing w:val="-2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4975FC"/>
                        <w:spacing w:val="-2"/>
                        <w:sz w:val="15"/>
                      </w:rPr>
                      <w:t>Hodnocení</w:t>
                    </w:r>
                    <w:r>
                      <w:rPr>
                        <w:color w:val="4975FC"/>
                        <w:spacing w:val="-1"/>
                        <w:sz w:val="15"/>
                      </w:rPr>
                      <w:t> </w:t>
                    </w:r>
                    <w:r>
                      <w:rPr>
                        <w:color w:val="4975FC"/>
                        <w:spacing w:val="-5"/>
                        <w:sz w:val="15"/>
                      </w:rPr>
                      <w:t>ŠVP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6053248" type="#_x0000_t202" id="docshape14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>
      <w:start w:val="1"/>
      <w:numFmt w:val="decimal"/>
      <w:lvlText w:val="%2"/>
      <w:lvlJc w:val="left"/>
      <w:pPr>
        <w:ind w:left="2305" w:hanging="49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4"/>
        <w:sz w:val="14"/>
        <w:szCs w:val="14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33" w:hanging="4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67" w:hanging="4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101" w:hanging="4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35" w:hanging="4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69" w:hanging="4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903" w:hanging="4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837" w:hanging="49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0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1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71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62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5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43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33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24" w:hanging="25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920" w:lineRule="exact"/>
    </w:pPr>
    <w:rPr>
      <w:rFonts w:ascii="Cambria" w:hAnsi="Cambria" w:eastAsia="Cambria" w:cs="Cambria"/>
      <w:b/>
      <w:bCs/>
      <w:sz w:val="92"/>
      <w:szCs w:val="9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3"/>
      <w:ind w:left="1806" w:hanging="254"/>
    </w:pPr>
    <w:rPr>
      <w:rFonts w:ascii="Tahoma" w:hAnsi="Tahoma" w:eastAsia="Tahoma" w:cs="Tahom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numbering" Target="numbering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://www.np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7139AA1B-A72D-451E-9E5C-891FD3AAC56C}"/>
</file>

<file path=customXml/itemProps2.xml><?xml version="1.0" encoding="utf-8"?>
<ds:datastoreItem xmlns:ds="http://schemas.openxmlformats.org/officeDocument/2006/customXml" ds:itemID="{BBE05DD9-BEFE-479D-B594-E62EBDD0DDCC}"/>
</file>

<file path=customXml/itemProps3.xml><?xml version="1.0" encoding="utf-8"?>
<ds:datastoreItem xmlns:ds="http://schemas.openxmlformats.org/officeDocument/2006/customXml" ds:itemID="{0E5D2D6E-9140-4599-B218-61BE433FD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2025-03-14T07:25:55Z</dcterms:created>
  <dcterms:modified xsi:type="dcterms:W3CDTF">2025-03-14T07:25:55Z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